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DDA8F" w14:textId="61ADC5A6" w:rsidR="00E31615" w:rsidRPr="00E31615" w:rsidRDefault="00E31615" w:rsidP="00E31615">
      <w:pPr>
        <w:pStyle w:val="a5"/>
        <w:keepLines/>
        <w:tabs>
          <w:tab w:val="right" w:pos="10440"/>
          <w:tab w:val="right" w:pos="13323"/>
        </w:tabs>
        <w:rPr>
          <w:rFonts w:eastAsia="新細明體" w:cs="Arial"/>
          <w:b w:val="0"/>
          <w:sz w:val="24"/>
          <w:szCs w:val="24"/>
          <w:lang w:eastAsia="zh-TW"/>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sidR="00056A25">
        <w:rPr>
          <w:rFonts w:eastAsia="新細明體" w:cs="Arial" w:hint="eastAsia"/>
          <w:sz w:val="24"/>
          <w:szCs w:val="24"/>
          <w:lang w:eastAsia="zh-TW"/>
        </w:rPr>
        <w:t>7087</w:t>
      </w:r>
      <w:bookmarkStart w:id="2" w:name="_GoBack"/>
      <w:bookmarkEnd w:id="2"/>
    </w:p>
    <w:p w14:paraId="50093CCB" w14:textId="3F2DE186" w:rsidR="00C01A94" w:rsidRPr="00D92F41" w:rsidRDefault="00E31615" w:rsidP="00C01A94">
      <w:pPr>
        <w:pStyle w:val="a5"/>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w:t>
      </w:r>
      <w:r w:rsidRPr="005820C4">
        <w:rPr>
          <w:sz w:val="24"/>
          <w:szCs w:val="24"/>
          <w:lang w:eastAsia="zh-CN"/>
        </w:rPr>
        <w:t>20, 2021</w:t>
      </w:r>
    </w:p>
    <w:p w14:paraId="281D4F2F" w14:textId="77777777" w:rsidR="00926815" w:rsidRDefault="00926815" w:rsidP="00811EEE">
      <w:pPr>
        <w:ind w:left="1985" w:hanging="1985"/>
        <w:rPr>
          <w:rFonts w:cs="Arial"/>
          <w:b/>
          <w:bCs/>
        </w:rPr>
      </w:pPr>
    </w:p>
    <w:p w14:paraId="07737AFF" w14:textId="5E692265"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821FF1">
        <w:rPr>
          <w:rFonts w:cs="Arial"/>
          <w:b/>
          <w:bCs/>
        </w:rPr>
        <w:t>5.1.2.1</w:t>
      </w:r>
    </w:p>
    <w:p w14:paraId="74422F99"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2A28EBCE" w14:textId="524CB778" w:rsidR="00174EC2" w:rsidRPr="00307813" w:rsidRDefault="0034111C" w:rsidP="007A4FCF">
      <w:pPr>
        <w:ind w:left="1985" w:hanging="1985"/>
        <w:rPr>
          <w:rFonts w:cs="Arial"/>
          <w:b/>
          <w:bCs/>
        </w:rPr>
      </w:pPr>
      <w:r w:rsidRPr="000C45FD">
        <w:rPr>
          <w:rFonts w:cs="Arial"/>
          <w:b/>
          <w:bCs/>
        </w:rPr>
        <w:t>Title:</w:t>
      </w:r>
      <w:r w:rsidRPr="000C45FD">
        <w:rPr>
          <w:rFonts w:cs="Arial"/>
          <w:b/>
          <w:bCs/>
        </w:rPr>
        <w:tab/>
      </w:r>
      <w:r w:rsidR="00C01A94" w:rsidRPr="00C01A94">
        <w:rPr>
          <w:b/>
        </w:rPr>
        <w:t>Discussion on terminology for NR-U RRM requirements</w:t>
      </w:r>
      <w:r w:rsidR="00307813">
        <w:rPr>
          <w:b/>
        </w:rPr>
        <w:t xml:space="preserve"> </w:t>
      </w:r>
    </w:p>
    <w:p w14:paraId="7EEB14F9" w14:textId="59AA7FE5"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1B909E2E" w14:textId="15DE1975"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14:paraId="5D9FB62D" w14:textId="765A82FB" w:rsidR="00627792" w:rsidRPr="00FE4DCC" w:rsidRDefault="00FE4DCC" w:rsidP="00FE4DCC">
      <w:pPr>
        <w:jc w:val="both"/>
        <w:rPr>
          <w:rFonts w:eastAsia="新細明體"/>
        </w:rPr>
      </w:pPr>
      <w:r>
        <w:rPr>
          <w:rFonts w:eastAsia="新細明體"/>
        </w:rPr>
        <w:t>The terminology on the availability of SMTC has been discussed in the WF [1]</w:t>
      </w:r>
      <w:r w:rsidR="00256C03">
        <w:rPr>
          <w:rFonts w:eastAsia="新細明體"/>
        </w:rPr>
        <w:t xml:space="preserve">, and the views on the FFS part are provided in this paper. </w:t>
      </w:r>
    </w:p>
    <w:p w14:paraId="352FC5D2" w14:textId="389DA3AC" w:rsidR="00FE4DCC" w:rsidRPr="00FE4DCC" w:rsidRDefault="00256C03" w:rsidP="00FE4DCC">
      <w:pPr>
        <w:jc w:val="both"/>
        <w:rPr>
          <w:rFonts w:eastAsia="新細明體" w:cstheme="minorHAnsi"/>
        </w:rPr>
      </w:pPr>
      <w:r>
        <w:rPr>
          <w:noProof/>
        </w:rPr>
        <mc:AlternateContent>
          <mc:Choice Requires="wps">
            <w:drawing>
              <wp:anchor distT="45720" distB="45720" distL="114300" distR="114300" simplePos="0" relativeHeight="251661312" behindDoc="0" locked="0" layoutInCell="1" allowOverlap="1" wp14:anchorId="19F7BEED" wp14:editId="2325A5E8">
                <wp:simplePos x="0" y="0"/>
                <wp:positionH relativeFrom="margin">
                  <wp:align>right</wp:align>
                </wp:positionH>
                <wp:positionV relativeFrom="paragraph">
                  <wp:posOffset>239395</wp:posOffset>
                </wp:positionV>
                <wp:extent cx="6223000" cy="2705735"/>
                <wp:effectExtent l="0" t="0" r="25400" b="1841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2705735"/>
                        </a:xfrm>
                        <a:prstGeom prst="rect">
                          <a:avLst/>
                        </a:prstGeom>
                        <a:solidFill>
                          <a:srgbClr val="FFFFFF"/>
                        </a:solidFill>
                        <a:ln w="9525">
                          <a:solidFill>
                            <a:srgbClr val="000000"/>
                          </a:solidFill>
                          <a:miter lim="800000"/>
                          <a:headEnd/>
                          <a:tailEnd/>
                        </a:ln>
                      </wps:spPr>
                      <wps:txbx>
                        <w:txbxContent>
                          <w:p w14:paraId="37EA5A79" w14:textId="77777777" w:rsidR="00FE4DCC" w:rsidRPr="00FE4DCC" w:rsidRDefault="00FE4DCC" w:rsidP="00FE4DCC">
                            <w:pPr>
                              <w:rPr>
                                <w:szCs w:val="24"/>
                              </w:rPr>
                            </w:pPr>
                            <w:r w:rsidRPr="00FE4DCC">
                              <w:rPr>
                                <w:szCs w:val="24"/>
                                <w:lang w:val="sv-SE"/>
                              </w:rPr>
                              <w:t>Further NR-U terminology clarification</w:t>
                            </w:r>
                          </w:p>
                          <w:p w14:paraId="349DA6D4" w14:textId="77777777" w:rsidR="00FE4DCC" w:rsidRPr="00FE4DCC" w:rsidRDefault="00FE4DCC" w:rsidP="00FE4DCC">
                            <w:pPr>
                              <w:rPr>
                                <w:szCs w:val="24"/>
                              </w:rPr>
                            </w:pPr>
                            <w:r w:rsidRPr="00FE4DCC">
                              <w:rPr>
                                <w:szCs w:val="24"/>
                              </w:rPr>
                              <w:t>General principles to address the impact of DRX, MGRP, CSSF, etc. on the availability definition:</w:t>
                            </w:r>
                          </w:p>
                          <w:p w14:paraId="1F15E8D0" w14:textId="77777777" w:rsidR="00FE4DCC" w:rsidRPr="00FE4DCC" w:rsidRDefault="00FE4DCC" w:rsidP="00FE4DCC">
                            <w:pPr>
                              <w:pStyle w:val="af5"/>
                              <w:numPr>
                                <w:ilvl w:val="0"/>
                                <w:numId w:val="45"/>
                              </w:numPr>
                              <w:rPr>
                                <w:szCs w:val="24"/>
                              </w:rPr>
                            </w:pPr>
                            <w:r w:rsidRPr="00FE4DCC">
                              <w:rPr>
                                <w:szCs w:val="24"/>
                              </w:rPr>
                              <w:t>When configured with measurements in measurement cycles: the UE is not required to determine the availability of SMTC occasions more frequent than once per measurement cycle.</w:t>
                            </w:r>
                          </w:p>
                          <w:p w14:paraId="26912637" w14:textId="77777777" w:rsidR="00FE4DCC" w:rsidRPr="00FE4DCC" w:rsidRDefault="00FE4DCC" w:rsidP="00FE4DCC">
                            <w:pPr>
                              <w:pStyle w:val="af5"/>
                              <w:numPr>
                                <w:ilvl w:val="1"/>
                                <w:numId w:val="46"/>
                              </w:numPr>
                              <w:rPr>
                                <w:szCs w:val="24"/>
                              </w:rPr>
                            </w:pPr>
                            <w:r w:rsidRPr="00FE4DCC">
                              <w:rPr>
                                <w:szCs w:val="24"/>
                              </w:rPr>
                              <w:t>For measurements in gaps: The UE is not required to determine the availability of SMTC occasions more frequent than once during MGRP.</w:t>
                            </w:r>
                          </w:p>
                          <w:p w14:paraId="2973DDBB" w14:textId="77777777" w:rsidR="00FE4DCC" w:rsidRPr="00FE4DCC" w:rsidRDefault="00FE4DCC" w:rsidP="00FE4DCC">
                            <w:pPr>
                              <w:pStyle w:val="af5"/>
                              <w:numPr>
                                <w:ilvl w:val="1"/>
                                <w:numId w:val="46"/>
                              </w:numPr>
                              <w:rPr>
                                <w:szCs w:val="24"/>
                              </w:rPr>
                            </w:pPr>
                            <w:r w:rsidRPr="00FE4DCC">
                              <w:rPr>
                                <w:szCs w:val="24"/>
                              </w:rPr>
                              <w:t>For measurement requirements with DRX: the UE is not required to determine the availability of SMTC occasions more frequent than once per DRX cycle.</w:t>
                            </w:r>
                          </w:p>
                          <w:p w14:paraId="5D0E08ED" w14:textId="77777777" w:rsidR="00FE4DCC" w:rsidRPr="00FE4DCC" w:rsidRDefault="00FE4DCC" w:rsidP="00FE4DCC">
                            <w:pPr>
                              <w:pStyle w:val="af5"/>
                              <w:numPr>
                                <w:ilvl w:val="1"/>
                                <w:numId w:val="46"/>
                              </w:numPr>
                              <w:rPr>
                                <w:szCs w:val="24"/>
                              </w:rPr>
                            </w:pPr>
                            <w:r w:rsidRPr="00FE4DCC">
                              <w:rPr>
                                <w:szCs w:val="24"/>
                                <w:lang w:val="en-GB"/>
                              </w:rPr>
                              <w:t>For RLM/CBD: The UE is not required to determine the availability of SSB occasions more frequent than once per DRX cycle length, when configured with DRX.</w:t>
                            </w:r>
                          </w:p>
                          <w:p w14:paraId="7E795C90" w14:textId="77777777" w:rsidR="00FE4DCC" w:rsidRPr="00FE4DCC" w:rsidRDefault="00FE4DCC" w:rsidP="00FE4DCC">
                            <w:pPr>
                              <w:pStyle w:val="af5"/>
                              <w:numPr>
                                <w:ilvl w:val="1"/>
                                <w:numId w:val="46"/>
                              </w:numPr>
                              <w:rPr>
                                <w:szCs w:val="24"/>
                              </w:rPr>
                            </w:pPr>
                            <w:r w:rsidRPr="00FE4DCC">
                              <w:rPr>
                                <w:szCs w:val="24"/>
                                <w:highlight w:val="yellow"/>
                              </w:rPr>
                              <w:t>FFS:</w:t>
                            </w:r>
                            <w:r w:rsidRPr="00FE4DCC">
                              <w:rPr>
                                <w:szCs w:val="24"/>
                              </w:rPr>
                              <w:t xml:space="preserve"> how to account CSSF impact</w:t>
                            </w:r>
                          </w:p>
                          <w:p w14:paraId="10E0F2CE" w14:textId="77777777" w:rsidR="00FE4DCC" w:rsidRPr="00FE4DCC" w:rsidRDefault="00FE4DCC" w:rsidP="00FE4DCC">
                            <w:pPr>
                              <w:pStyle w:val="af5"/>
                              <w:numPr>
                                <w:ilvl w:val="2"/>
                                <w:numId w:val="46"/>
                              </w:numPr>
                              <w:rPr>
                                <w:szCs w:val="24"/>
                              </w:rPr>
                            </w:pPr>
                            <w:r w:rsidRPr="00FE4DCC">
                              <w:rPr>
                                <w:szCs w:val="24"/>
                              </w:rPr>
                              <w:t>Option 1: For measurement requirements with CSSF: The UE is not required to determine the availability of SMTC occasions more frequent than what is required by CSSF</w:t>
                            </w:r>
                          </w:p>
                          <w:p w14:paraId="20CF914B" w14:textId="77777777" w:rsidR="00FE4DCC" w:rsidRPr="00FE4DCC" w:rsidRDefault="00FE4DCC" w:rsidP="00FE4DCC">
                            <w:pPr>
                              <w:pStyle w:val="af5"/>
                              <w:numPr>
                                <w:ilvl w:val="1"/>
                                <w:numId w:val="46"/>
                              </w:numPr>
                              <w:rPr>
                                <w:szCs w:val="24"/>
                              </w:rPr>
                            </w:pPr>
                            <w:r w:rsidRPr="00FE4DCC">
                              <w:rPr>
                                <w:szCs w:val="24"/>
                              </w:rPr>
                              <w:t>A common approach (but applicable for the relevant issues among DRX, MGRP, etc.) shall be used for all measurements</w:t>
                            </w:r>
                          </w:p>
                          <w:p w14:paraId="0261CE01" w14:textId="7240B99B" w:rsidR="00FE4DCC" w:rsidRPr="00FE4DCC" w:rsidRDefault="00FE4DCC" w:rsidP="00FE4DCC">
                            <w:pPr>
                              <w:pStyle w:val="af5"/>
                              <w:numPr>
                                <w:ilvl w:val="0"/>
                                <w:numId w:val="45"/>
                              </w:numPr>
                              <w:rPr>
                                <w:rFonts w:eastAsia="新細明體"/>
                                <w:szCs w:val="24"/>
                              </w:rPr>
                            </w:pPr>
                            <w:r w:rsidRPr="00FE4DCC">
                              <w:rPr>
                                <w:szCs w:val="24"/>
                                <w:highlight w:val="yellow"/>
                              </w:rPr>
                              <w:t>FFS:</w:t>
                            </w:r>
                            <w:r w:rsidRPr="00FE4DCC">
                              <w:rPr>
                                <w:szCs w:val="24"/>
                              </w:rPr>
                              <w:t xml:space="preserve"> how to capture the above in 38.133 and the level of details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9F7BEED" id="_x0000_t202" coordsize="21600,21600" o:spt="202" path="m,l,21600r21600,l21600,xe">
                <v:stroke joinstyle="miter"/>
                <v:path gradientshapeok="t" o:connecttype="rect"/>
              </v:shapetype>
              <v:shape id="文字方塊 2" o:spid="_x0000_s1026" type="#_x0000_t202" style="position:absolute;left:0;text-align:left;margin-left:438.8pt;margin-top:18.85pt;width:490pt;height:213.05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">
                <v:textbox style="mso-fit-shape-to-text:t">
                  <w:txbxContent>
                    <w:p w14:paraId="37EA5A79" w14:textId="77777777" w:rsidR="00FE4DCC" w:rsidRPr="00FE4DCC" w:rsidRDefault="00FE4DCC" w:rsidP="00FE4DCC">
                      <w:pPr>
                        <w:rPr>
                          <w:szCs w:val="24"/>
                        </w:rPr>
                      </w:pPr>
                      <w:r w:rsidRPr="00FE4DCC">
                        <w:rPr>
                          <w:szCs w:val="24"/>
                          <w:lang w:val="sv-SE"/>
                        </w:rPr>
                        <w:t>Further NR-U terminology clarification</w:t>
                      </w:r>
                    </w:p>
                    <w:p w14:paraId="349DA6D4" w14:textId="77777777" w:rsidR="00FE4DCC" w:rsidRPr="00FE4DCC" w:rsidRDefault="00FE4DCC" w:rsidP="00FE4DCC">
                      <w:pPr>
                        <w:rPr>
                          <w:szCs w:val="24"/>
                        </w:rPr>
                      </w:pPr>
                      <w:r w:rsidRPr="00FE4DCC">
                        <w:rPr>
                          <w:szCs w:val="24"/>
                        </w:rPr>
                        <w:t>General principles to address the impact of DRX, MGRP, CSSF, etc. on the availability definition:</w:t>
                      </w:r>
                    </w:p>
                    <w:p w14:paraId="1F15E8D0" w14:textId="77777777" w:rsidR="00FE4DCC" w:rsidRPr="00FE4DCC" w:rsidRDefault="00FE4DCC" w:rsidP="00FE4DCC">
                      <w:pPr>
                        <w:pStyle w:val="af5"/>
                        <w:numPr>
                          <w:ilvl w:val="0"/>
                          <w:numId w:val="45"/>
                        </w:numPr>
                        <w:rPr>
                          <w:szCs w:val="24"/>
                        </w:rPr>
                      </w:pPr>
                      <w:r w:rsidRPr="00FE4DCC">
                        <w:rPr>
                          <w:szCs w:val="24"/>
                        </w:rPr>
                        <w:t>When configured with measurements in measurement cycles: the UE is not required to determine the availability of SMTC occasions more frequent than once per measurement cycle.</w:t>
                      </w:r>
                    </w:p>
                    <w:p w14:paraId="26912637" w14:textId="77777777" w:rsidR="00FE4DCC" w:rsidRPr="00FE4DCC" w:rsidRDefault="00FE4DCC" w:rsidP="00FE4DCC">
                      <w:pPr>
                        <w:pStyle w:val="af5"/>
                        <w:numPr>
                          <w:ilvl w:val="1"/>
                          <w:numId w:val="46"/>
                        </w:numPr>
                        <w:rPr>
                          <w:szCs w:val="24"/>
                        </w:rPr>
                      </w:pPr>
                      <w:r w:rsidRPr="00FE4DCC">
                        <w:rPr>
                          <w:szCs w:val="24"/>
                        </w:rPr>
                        <w:t>For measurements in gaps: The UE is not required to determine the availability of SMTC occasions more frequent than once during MGRP.</w:t>
                      </w:r>
                    </w:p>
                    <w:p w14:paraId="2973DDBB" w14:textId="77777777" w:rsidR="00FE4DCC" w:rsidRPr="00FE4DCC" w:rsidRDefault="00FE4DCC" w:rsidP="00FE4DCC">
                      <w:pPr>
                        <w:pStyle w:val="af5"/>
                        <w:numPr>
                          <w:ilvl w:val="1"/>
                          <w:numId w:val="46"/>
                        </w:numPr>
                        <w:rPr>
                          <w:szCs w:val="24"/>
                        </w:rPr>
                      </w:pPr>
                      <w:r w:rsidRPr="00FE4DCC">
                        <w:rPr>
                          <w:szCs w:val="24"/>
                        </w:rPr>
                        <w:t>For measurement requirements with DRX: the UE is not required to determine the availability of SMTC occasions more frequent than once per DRX cycle.</w:t>
                      </w:r>
                    </w:p>
                    <w:p w14:paraId="5D0E08ED" w14:textId="77777777" w:rsidR="00FE4DCC" w:rsidRPr="00FE4DCC" w:rsidRDefault="00FE4DCC" w:rsidP="00FE4DCC">
                      <w:pPr>
                        <w:pStyle w:val="af5"/>
                        <w:numPr>
                          <w:ilvl w:val="1"/>
                          <w:numId w:val="46"/>
                        </w:numPr>
                        <w:rPr>
                          <w:szCs w:val="24"/>
                        </w:rPr>
                      </w:pPr>
                      <w:r w:rsidRPr="00FE4DCC">
                        <w:rPr>
                          <w:szCs w:val="24"/>
                          <w:lang w:val="en-GB"/>
                        </w:rPr>
                        <w:t>For RLM/CBD: The UE is not required to determine the availability of SSB occasions more frequent than once per DRX cycle length, when configured with DRX.</w:t>
                      </w:r>
                    </w:p>
                    <w:p w14:paraId="7E795C90" w14:textId="77777777" w:rsidR="00FE4DCC" w:rsidRPr="00FE4DCC" w:rsidRDefault="00FE4DCC" w:rsidP="00FE4DCC">
                      <w:pPr>
                        <w:pStyle w:val="af5"/>
                        <w:numPr>
                          <w:ilvl w:val="1"/>
                          <w:numId w:val="46"/>
                        </w:numPr>
                        <w:rPr>
                          <w:szCs w:val="24"/>
                        </w:rPr>
                      </w:pPr>
                      <w:r w:rsidRPr="00FE4DCC">
                        <w:rPr>
                          <w:szCs w:val="24"/>
                          <w:highlight w:val="yellow"/>
                        </w:rPr>
                        <w:t>FFS:</w:t>
                      </w:r>
                      <w:r w:rsidRPr="00FE4DCC">
                        <w:rPr>
                          <w:szCs w:val="24"/>
                        </w:rPr>
                        <w:t xml:space="preserve"> how to account CSSF impact</w:t>
                      </w:r>
                    </w:p>
                    <w:p w14:paraId="10E0F2CE" w14:textId="77777777" w:rsidR="00FE4DCC" w:rsidRPr="00FE4DCC" w:rsidRDefault="00FE4DCC" w:rsidP="00FE4DCC">
                      <w:pPr>
                        <w:pStyle w:val="af5"/>
                        <w:numPr>
                          <w:ilvl w:val="2"/>
                          <w:numId w:val="46"/>
                        </w:numPr>
                        <w:rPr>
                          <w:szCs w:val="24"/>
                        </w:rPr>
                      </w:pPr>
                      <w:r w:rsidRPr="00FE4DCC">
                        <w:rPr>
                          <w:szCs w:val="24"/>
                        </w:rPr>
                        <w:t>Option 1: For measurement requirements with CSSF: The UE is not required to determine the availability of SMTC occasions more frequent than what is required by CSSF</w:t>
                      </w:r>
                    </w:p>
                    <w:p w14:paraId="20CF914B" w14:textId="77777777" w:rsidR="00FE4DCC" w:rsidRPr="00FE4DCC" w:rsidRDefault="00FE4DCC" w:rsidP="00FE4DCC">
                      <w:pPr>
                        <w:pStyle w:val="af5"/>
                        <w:numPr>
                          <w:ilvl w:val="1"/>
                          <w:numId w:val="46"/>
                        </w:numPr>
                        <w:rPr>
                          <w:szCs w:val="24"/>
                        </w:rPr>
                      </w:pPr>
                      <w:r w:rsidRPr="00FE4DCC">
                        <w:rPr>
                          <w:szCs w:val="24"/>
                        </w:rPr>
                        <w:t>A common approach (but applicable for the relevant issues among DRX, MGRP, etc.) shall be used for all measurements</w:t>
                      </w:r>
                    </w:p>
                    <w:p w14:paraId="0261CE01" w14:textId="7240B99B" w:rsidR="00FE4DCC" w:rsidRPr="00FE4DCC" w:rsidRDefault="00FE4DCC" w:rsidP="00FE4DCC">
                      <w:pPr>
                        <w:pStyle w:val="af5"/>
                        <w:numPr>
                          <w:ilvl w:val="0"/>
                          <w:numId w:val="45"/>
                        </w:numPr>
                        <w:rPr>
                          <w:rFonts w:eastAsia="新細明體"/>
                          <w:szCs w:val="24"/>
                        </w:rPr>
                      </w:pPr>
                      <w:r w:rsidRPr="00FE4DCC">
                        <w:rPr>
                          <w:szCs w:val="24"/>
                          <w:highlight w:val="yellow"/>
                        </w:rPr>
                        <w:t>FFS:</w:t>
                      </w:r>
                      <w:r w:rsidRPr="00FE4DCC">
                        <w:rPr>
                          <w:szCs w:val="24"/>
                        </w:rPr>
                        <w:t xml:space="preserve"> how to capture the above in 38.133 and the level of details</w:t>
                      </w:r>
                    </w:p>
                  </w:txbxContent>
                </v:textbox>
                <w10:wrap type="square" anchorx="margin"/>
              </v:shape>
            </w:pict>
          </mc:Fallback>
        </mc:AlternateContent>
      </w:r>
    </w:p>
    <w:p w14:paraId="531CCFF6" w14:textId="41D471CF" w:rsidR="003C4042" w:rsidRPr="00407A71" w:rsidRDefault="00F7187A" w:rsidP="00933AAF">
      <w:pPr>
        <w:pStyle w:val="1"/>
        <w:numPr>
          <w:ilvl w:val="0"/>
          <w:numId w:val="1"/>
        </w:numPr>
        <w:rPr>
          <w:sz w:val="32"/>
        </w:rPr>
      </w:pPr>
      <w:r>
        <w:rPr>
          <w:sz w:val="32"/>
        </w:rPr>
        <w:t xml:space="preserve">Clarification </w:t>
      </w:r>
      <w:r w:rsidR="00407A71" w:rsidRPr="00407A71">
        <w:rPr>
          <w:sz w:val="32"/>
        </w:rPr>
        <w:t xml:space="preserve">for </w:t>
      </w:r>
      <w:r w:rsidR="00933AAF" w:rsidRPr="00933AAF">
        <w:rPr>
          <w:sz w:val="32"/>
        </w:rPr>
        <w:t>the availability of SMTC occasions</w:t>
      </w:r>
      <w:r w:rsidR="00407A71" w:rsidRPr="00407A71">
        <w:rPr>
          <w:sz w:val="32"/>
        </w:rPr>
        <w:t xml:space="preserve"> with </w:t>
      </w:r>
      <w:r w:rsidR="0038237F">
        <w:rPr>
          <w:sz w:val="32"/>
        </w:rPr>
        <w:t>CSSF</w:t>
      </w:r>
      <w:r w:rsidR="00334AFE">
        <w:rPr>
          <w:sz w:val="32"/>
        </w:rPr>
        <w:t xml:space="preserve"> </w:t>
      </w:r>
    </w:p>
    <w:p w14:paraId="7A5EDFC3" w14:textId="2AA5D2E8" w:rsidR="009954A8" w:rsidRPr="002015E0" w:rsidRDefault="003C7566" w:rsidP="00A70517">
      <w:pPr>
        <w:jc w:val="both"/>
        <w:rPr>
          <w:rFonts w:eastAsia="新細明體"/>
        </w:rPr>
      </w:pPr>
      <w:bookmarkStart w:id="3" w:name="_Ref54190708"/>
      <w:r w:rsidRPr="002015E0">
        <w:rPr>
          <w:rFonts w:eastAsia="新細明體" w:hint="eastAsia"/>
        </w:rPr>
        <w:t>For the following cases, the CSSF</w:t>
      </w:r>
      <w:r w:rsidR="002015E0">
        <w:rPr>
          <w:rFonts w:eastAsia="新細明體"/>
        </w:rPr>
        <w:t xml:space="preserve"> is needed </w:t>
      </w:r>
      <w:r w:rsidR="005430AF" w:rsidRPr="002015E0">
        <w:rPr>
          <w:rFonts w:eastAsia="新細明體"/>
        </w:rPr>
        <w:t xml:space="preserve">without </w:t>
      </w:r>
      <w:r w:rsidR="005430AF" w:rsidRPr="002015E0">
        <w:t>K</w:t>
      </w:r>
      <w:r w:rsidR="005430AF" w:rsidRPr="002015E0">
        <w:rPr>
          <w:vertAlign w:val="subscript"/>
        </w:rPr>
        <w:t>p</w:t>
      </w:r>
    </w:p>
    <w:p w14:paraId="4A3DE7A0" w14:textId="3CAD6BD3" w:rsidR="003C7566" w:rsidRPr="003C7566" w:rsidRDefault="003C7566" w:rsidP="003C7566">
      <w:pPr>
        <w:pStyle w:val="af5"/>
        <w:numPr>
          <w:ilvl w:val="0"/>
          <w:numId w:val="47"/>
        </w:numPr>
        <w:jc w:val="both"/>
        <w:rPr>
          <w:rFonts w:eastAsia="新細明體"/>
        </w:rPr>
      </w:pPr>
      <w:r w:rsidRPr="003C7566">
        <w:t>Intra-frequency measurements without measurement gaps</w:t>
      </w:r>
      <w:r w:rsidR="005430AF">
        <w:t xml:space="preserve"> (deactivated SCell)</w:t>
      </w:r>
    </w:p>
    <w:p w14:paraId="122DC599" w14:textId="188E4BB1" w:rsidR="003C7566" w:rsidRPr="003C7566" w:rsidRDefault="003C7566" w:rsidP="003C7566">
      <w:pPr>
        <w:pStyle w:val="af5"/>
        <w:numPr>
          <w:ilvl w:val="0"/>
          <w:numId w:val="47"/>
        </w:numPr>
        <w:jc w:val="both"/>
        <w:rPr>
          <w:rFonts w:eastAsia="新細明體"/>
        </w:rPr>
      </w:pPr>
      <w:r w:rsidRPr="003C7566">
        <w:t>Intra-frequency measurements with measurement gaps</w:t>
      </w:r>
    </w:p>
    <w:p w14:paraId="0102397B" w14:textId="77777777" w:rsidR="003C7566" w:rsidRPr="003C7566" w:rsidRDefault="003C7566" w:rsidP="003C7566">
      <w:pPr>
        <w:pStyle w:val="af5"/>
        <w:numPr>
          <w:ilvl w:val="0"/>
          <w:numId w:val="47"/>
        </w:numPr>
        <w:jc w:val="both"/>
        <w:rPr>
          <w:rFonts w:eastAsia="新細明體" w:cstheme="minorHAnsi"/>
          <w:lang w:val="x-none"/>
        </w:rPr>
      </w:pPr>
      <w:r w:rsidRPr="003C7566">
        <w:t>Inter-frequency measurements</w:t>
      </w:r>
    </w:p>
    <w:p w14:paraId="3F48F15E" w14:textId="77777777" w:rsidR="003C7566" w:rsidRDefault="003C7566" w:rsidP="00A70517">
      <w:pPr>
        <w:jc w:val="both"/>
        <w:rPr>
          <w:rFonts w:eastAsia="新細明體"/>
          <w:u w:val="single"/>
        </w:rPr>
      </w:pPr>
    </w:p>
    <w:p w14:paraId="4CE9E49B" w14:textId="00AF2C31" w:rsidR="003C7566" w:rsidRPr="002015E0" w:rsidRDefault="002015E0" w:rsidP="00A70517">
      <w:pPr>
        <w:jc w:val="both"/>
        <w:rPr>
          <w:rFonts w:eastAsia="新細明體"/>
        </w:rPr>
      </w:pPr>
      <w:r w:rsidRPr="002015E0">
        <w:rPr>
          <w:rFonts w:eastAsia="新細明體" w:hint="eastAsia"/>
        </w:rPr>
        <w:t>I</w:t>
      </w:r>
      <w:r w:rsidRPr="002015E0">
        <w:rPr>
          <w:rFonts w:eastAsia="新細明體"/>
        </w:rPr>
        <w:t xml:space="preserve">t would </w:t>
      </w:r>
      <w:r>
        <w:rPr>
          <w:rFonts w:eastAsia="新細明體"/>
        </w:rPr>
        <w:t xml:space="preserve">suggest the following wording to clarify the corresponding period with CSSF. </w:t>
      </w:r>
    </w:p>
    <w:p w14:paraId="13FCB494" w14:textId="02F3B4F5" w:rsidR="009954A8" w:rsidRPr="002015E0" w:rsidRDefault="009954A8" w:rsidP="002015E0">
      <w:pPr>
        <w:pStyle w:val="af5"/>
        <w:numPr>
          <w:ilvl w:val="0"/>
          <w:numId w:val="47"/>
        </w:numPr>
        <w:jc w:val="both"/>
        <w:rPr>
          <w:rFonts w:eastAsia="新細明體"/>
        </w:rPr>
      </w:pPr>
      <w:r w:rsidRPr="00BE4DD8">
        <w:t xml:space="preserve">When configured with DRX, the UE is not required to determine the availability of SMTC occasions more frequent than once per </w:t>
      </w:r>
      <w:r w:rsidRPr="002015E0">
        <w:rPr>
          <w:u w:val="single"/>
        </w:rPr>
        <w:t>DRX cycle x CSSF</w:t>
      </w:r>
      <w:r w:rsidRPr="00BE4DD8">
        <w:t xml:space="preserve">. </w:t>
      </w:r>
    </w:p>
    <w:p w14:paraId="3166F95A" w14:textId="37D86050" w:rsidR="009954A8" w:rsidRPr="002015E0" w:rsidRDefault="009954A8" w:rsidP="002015E0">
      <w:pPr>
        <w:pStyle w:val="af5"/>
        <w:numPr>
          <w:ilvl w:val="0"/>
          <w:numId w:val="47"/>
        </w:numPr>
        <w:jc w:val="both"/>
        <w:rPr>
          <w:rFonts w:eastAsia="新細明體"/>
        </w:rPr>
      </w:pPr>
      <w:r w:rsidRPr="00BE4DD8">
        <w:t xml:space="preserve">When configured with measurement gaps, the UE is not required to determine the availability of SMTC occasions more frequent than once during </w:t>
      </w:r>
      <w:r w:rsidRPr="002015E0">
        <w:rPr>
          <w:u w:val="single"/>
        </w:rPr>
        <w:t>MGRP x CSSF</w:t>
      </w:r>
      <w:r w:rsidRPr="00BE4DD8">
        <w:t xml:space="preserve">. </w:t>
      </w:r>
    </w:p>
    <w:p w14:paraId="0B22F88D" w14:textId="77777777" w:rsidR="003C7566" w:rsidRDefault="003C7566" w:rsidP="002015E0">
      <w:pPr>
        <w:pStyle w:val="af5"/>
        <w:numPr>
          <w:ilvl w:val="0"/>
          <w:numId w:val="47"/>
        </w:numPr>
        <w:jc w:val="both"/>
      </w:pPr>
      <w:r w:rsidRPr="00394C5A">
        <w:t xml:space="preserve">When configured with measurement cycles, the UE is not required to determine the availability of SMTC occasions more frequent than once per </w:t>
      </w:r>
      <w:r w:rsidRPr="002015E0">
        <w:rPr>
          <w:u w:val="single"/>
        </w:rPr>
        <w:t>measurement cycle x CSSF</w:t>
      </w:r>
      <w:r w:rsidRPr="00394C5A">
        <w:t xml:space="preserve">. </w:t>
      </w:r>
    </w:p>
    <w:p w14:paraId="76BBA175" w14:textId="77777777" w:rsidR="003C7566" w:rsidRDefault="003C7566" w:rsidP="009954A8">
      <w:pPr>
        <w:jc w:val="both"/>
        <w:rPr>
          <w:rFonts w:eastAsia="新細明體"/>
        </w:rPr>
      </w:pPr>
    </w:p>
    <w:p w14:paraId="1795BD0A" w14:textId="2018523C" w:rsidR="002015E0" w:rsidRPr="002015E0" w:rsidRDefault="002015E0" w:rsidP="002015E0">
      <w:pPr>
        <w:jc w:val="both"/>
        <w:rPr>
          <w:rFonts w:eastAsia="新細明體" w:cstheme="minorHAnsi"/>
          <w:b/>
          <w:i/>
          <w:color w:val="000000"/>
          <w:kern w:val="0"/>
        </w:rPr>
      </w:pPr>
      <w:r w:rsidRPr="002015E0">
        <w:rPr>
          <w:rFonts w:cstheme="minorHAnsi"/>
          <w:b/>
          <w:bCs/>
          <w:i/>
        </w:rPr>
        <w:lastRenderedPageBreak/>
        <w:t xml:space="preserve">Proposal </w:t>
      </w:r>
      <w:r w:rsidRPr="002015E0">
        <w:rPr>
          <w:rFonts w:cstheme="minorHAnsi"/>
          <w:b/>
          <w:bCs/>
          <w:i/>
        </w:rPr>
        <w:fldChar w:fldCharType="begin"/>
      </w:r>
      <w:r w:rsidRPr="002015E0">
        <w:rPr>
          <w:rFonts w:cstheme="minorHAnsi"/>
          <w:b/>
          <w:bCs/>
          <w:i/>
        </w:rPr>
        <w:instrText xml:space="preserve"> SEQ Proposal \* ARABIC </w:instrText>
      </w:r>
      <w:r w:rsidRPr="002015E0">
        <w:rPr>
          <w:rFonts w:cstheme="minorHAnsi"/>
          <w:b/>
          <w:bCs/>
          <w:i/>
        </w:rPr>
        <w:fldChar w:fldCharType="separate"/>
      </w:r>
      <w:r>
        <w:rPr>
          <w:rFonts w:cstheme="minorHAnsi"/>
          <w:b/>
          <w:bCs/>
          <w:i/>
          <w:noProof/>
        </w:rPr>
        <w:t>1</w:t>
      </w:r>
      <w:r w:rsidRPr="002015E0">
        <w:rPr>
          <w:rFonts w:cstheme="minorHAnsi"/>
          <w:b/>
          <w:bCs/>
          <w:i/>
        </w:rPr>
        <w:fldChar w:fldCharType="end"/>
      </w:r>
      <w:r w:rsidRPr="002015E0">
        <w:rPr>
          <w:rFonts w:cstheme="minorHAnsi"/>
          <w:b/>
          <w:bCs/>
          <w:i/>
        </w:rPr>
        <w:t xml:space="preserve">: </w:t>
      </w:r>
      <w:r w:rsidRPr="002015E0">
        <w:rPr>
          <w:rFonts w:eastAsia="新細明體" w:cstheme="minorHAnsi"/>
          <w:b/>
          <w:i/>
          <w:color w:val="000000"/>
          <w:kern w:val="0"/>
        </w:rPr>
        <w:t>For</w:t>
      </w:r>
      <w:r w:rsidRPr="002015E0">
        <w:rPr>
          <w:rFonts w:eastAsia="新細明體" w:cstheme="minorHAnsi" w:hint="eastAsia"/>
          <w:b/>
          <w:i/>
          <w:color w:val="000000"/>
          <w:kern w:val="0"/>
        </w:rPr>
        <w:t xml:space="preserve"> </w:t>
      </w:r>
      <w:r w:rsidRPr="002015E0">
        <w:rPr>
          <w:rFonts w:eastAsia="新細明體" w:cstheme="minorHAnsi"/>
          <w:b/>
          <w:i/>
          <w:color w:val="000000"/>
          <w:kern w:val="0"/>
        </w:rPr>
        <w:t xml:space="preserve">intra-frequency measurements without measurement gaps (deactivated SCell), </w:t>
      </w:r>
      <w:r w:rsidRPr="002015E0">
        <w:rPr>
          <w:rFonts w:eastAsia="新細明體" w:cstheme="minorHAnsi" w:hint="eastAsia"/>
          <w:b/>
          <w:i/>
          <w:color w:val="000000"/>
          <w:kern w:val="0"/>
        </w:rPr>
        <w:t>i</w:t>
      </w:r>
      <w:r w:rsidRPr="002015E0">
        <w:rPr>
          <w:rFonts w:eastAsia="新細明體" w:cstheme="minorHAnsi"/>
          <w:b/>
          <w:i/>
          <w:color w:val="000000"/>
          <w:kern w:val="0"/>
        </w:rPr>
        <w:t xml:space="preserve">ntra-frequency measurements with measurement gaps, and </w:t>
      </w:r>
      <w:r w:rsidRPr="002015E0">
        <w:rPr>
          <w:rFonts w:eastAsia="新細明體" w:cstheme="minorHAnsi" w:hint="eastAsia"/>
          <w:b/>
          <w:i/>
          <w:color w:val="000000"/>
          <w:kern w:val="0"/>
        </w:rPr>
        <w:t>i</w:t>
      </w:r>
      <w:r w:rsidRPr="002015E0">
        <w:rPr>
          <w:rFonts w:eastAsia="新細明體" w:cstheme="minorHAnsi"/>
          <w:b/>
          <w:i/>
          <w:color w:val="000000"/>
          <w:kern w:val="0"/>
        </w:rPr>
        <w:t>nter-frequency measurements, to add the following notes</w:t>
      </w:r>
      <w:r>
        <w:rPr>
          <w:rFonts w:eastAsia="新細明體" w:cstheme="minorHAnsi"/>
          <w:b/>
          <w:i/>
          <w:color w:val="000000"/>
          <w:kern w:val="0"/>
        </w:rPr>
        <w:t xml:space="preserve"> in the requirement</w:t>
      </w:r>
      <w:r w:rsidRPr="002015E0">
        <w:rPr>
          <w:rFonts w:eastAsia="新細明體" w:cstheme="minorHAnsi"/>
          <w:b/>
          <w:i/>
          <w:color w:val="000000"/>
          <w:kern w:val="0"/>
        </w:rPr>
        <w:t xml:space="preserve">: </w:t>
      </w:r>
    </w:p>
    <w:p w14:paraId="119F246F" w14:textId="77777777" w:rsidR="002015E0" w:rsidRPr="002015E0" w:rsidRDefault="002015E0" w:rsidP="002015E0">
      <w:pPr>
        <w:pStyle w:val="af5"/>
        <w:numPr>
          <w:ilvl w:val="0"/>
          <w:numId w:val="47"/>
        </w:numPr>
        <w:jc w:val="both"/>
        <w:rPr>
          <w:rFonts w:eastAsia="新細明體"/>
          <w:b/>
          <w:i/>
        </w:rPr>
      </w:pPr>
      <w:r w:rsidRPr="002015E0">
        <w:rPr>
          <w:b/>
          <w:i/>
        </w:rPr>
        <w:t xml:space="preserve">When configured with DRX, the UE is not required to determine the availability of SMTC occasions more frequent than once per </w:t>
      </w:r>
      <w:r w:rsidRPr="002015E0">
        <w:rPr>
          <w:b/>
          <w:i/>
          <w:u w:val="single"/>
        </w:rPr>
        <w:t>DRX cycle x CSSF</w:t>
      </w:r>
      <w:r w:rsidRPr="002015E0">
        <w:rPr>
          <w:b/>
          <w:i/>
        </w:rPr>
        <w:t xml:space="preserve">. </w:t>
      </w:r>
    </w:p>
    <w:p w14:paraId="7A9CD208" w14:textId="77777777" w:rsidR="002015E0" w:rsidRPr="002015E0" w:rsidRDefault="002015E0" w:rsidP="002015E0">
      <w:pPr>
        <w:pStyle w:val="af5"/>
        <w:numPr>
          <w:ilvl w:val="0"/>
          <w:numId w:val="47"/>
        </w:numPr>
        <w:jc w:val="both"/>
        <w:rPr>
          <w:rFonts w:eastAsia="新細明體"/>
          <w:b/>
          <w:i/>
        </w:rPr>
      </w:pPr>
      <w:r w:rsidRPr="002015E0">
        <w:rPr>
          <w:b/>
          <w:i/>
        </w:rPr>
        <w:t xml:space="preserve">When configured with measurement gaps, the UE is not required to determine the availability of SMTC occasions more frequent than once during </w:t>
      </w:r>
      <w:r w:rsidRPr="002015E0">
        <w:rPr>
          <w:b/>
          <w:i/>
          <w:u w:val="single"/>
        </w:rPr>
        <w:t>MGRP x CSSF</w:t>
      </w:r>
      <w:r w:rsidRPr="002015E0">
        <w:rPr>
          <w:b/>
          <w:i/>
        </w:rPr>
        <w:t xml:space="preserve">. </w:t>
      </w:r>
    </w:p>
    <w:p w14:paraId="3B32B94E" w14:textId="5212DC63" w:rsidR="003C7566" w:rsidRPr="00F3716A" w:rsidRDefault="002015E0" w:rsidP="009954A8">
      <w:pPr>
        <w:pStyle w:val="af5"/>
        <w:numPr>
          <w:ilvl w:val="0"/>
          <w:numId w:val="47"/>
        </w:numPr>
        <w:jc w:val="both"/>
        <w:rPr>
          <w:rFonts w:eastAsia="新細明體"/>
          <w:b/>
          <w:i/>
        </w:rPr>
      </w:pPr>
      <w:r w:rsidRPr="002015E0">
        <w:rPr>
          <w:b/>
          <w:i/>
        </w:rPr>
        <w:t xml:space="preserve">When configured with measurement cycles, the UE is not required to determine the availability of SMTC occasions more frequent than once per </w:t>
      </w:r>
      <w:r w:rsidRPr="002015E0">
        <w:rPr>
          <w:b/>
          <w:i/>
          <w:u w:val="single"/>
        </w:rPr>
        <w:t>measurement cycle x CSSF</w:t>
      </w:r>
      <w:r w:rsidRPr="002015E0">
        <w:rPr>
          <w:b/>
          <w:i/>
        </w:rPr>
        <w:t>.</w:t>
      </w:r>
    </w:p>
    <w:p w14:paraId="23FBB536" w14:textId="77777777" w:rsidR="003C7566" w:rsidRPr="003C7566" w:rsidRDefault="003C7566" w:rsidP="009954A8">
      <w:pPr>
        <w:jc w:val="both"/>
        <w:rPr>
          <w:rFonts w:eastAsia="新細明體"/>
        </w:rPr>
      </w:pPr>
    </w:p>
    <w:p w14:paraId="5678CED5" w14:textId="77777777" w:rsidR="009954A8" w:rsidRDefault="009954A8" w:rsidP="009954A8">
      <w:pPr>
        <w:jc w:val="both"/>
        <w:rPr>
          <w:u w:val="single"/>
        </w:rPr>
      </w:pPr>
      <w:r w:rsidRPr="00933AAF">
        <w:rPr>
          <w:u w:val="single"/>
        </w:rPr>
        <w:t>Intra-frequency measurements without measurement gaps</w:t>
      </w:r>
    </w:p>
    <w:p w14:paraId="2AC62DD6" w14:textId="19291910" w:rsidR="005430AF" w:rsidRPr="00F3716A" w:rsidRDefault="005430AF" w:rsidP="009954A8">
      <w:pPr>
        <w:jc w:val="both"/>
        <w:rPr>
          <w:rFonts w:eastAsia="新細明體"/>
        </w:rPr>
      </w:pPr>
      <w:r>
        <w:rPr>
          <w:rFonts w:eastAsia="新細明體" w:hint="eastAsia"/>
        </w:rPr>
        <w:t>In this case,</w:t>
      </w:r>
      <w:r>
        <w:rPr>
          <w:rFonts w:eastAsia="新細明體"/>
        </w:rPr>
        <w:t xml:space="preserve"> it needs to take</w:t>
      </w:r>
      <w:r>
        <w:rPr>
          <w:rFonts w:eastAsia="新細明體" w:hint="eastAsia"/>
        </w:rPr>
        <w:t xml:space="preserve"> </w:t>
      </w:r>
      <w:r w:rsidRPr="005430AF">
        <w:rPr>
          <w:highlight w:val="cyan"/>
        </w:rPr>
        <w:t>K</w:t>
      </w:r>
      <w:r w:rsidRPr="005430AF">
        <w:rPr>
          <w:highlight w:val="cyan"/>
          <w:vertAlign w:val="subscript"/>
        </w:rPr>
        <w:t>p</w:t>
      </w:r>
      <w:r>
        <w:rPr>
          <w:vertAlign w:val="subscript"/>
        </w:rPr>
        <w:t xml:space="preserve"> </w:t>
      </w:r>
      <w:r>
        <w:t>and DRX</w:t>
      </w:r>
      <w:r w:rsidR="002015E0">
        <w:t xml:space="preserve"> in to account</w:t>
      </w:r>
      <w:r>
        <w:t xml:space="preserve">, but no need for MG or </w:t>
      </w:r>
      <w:r w:rsidRPr="005430AF">
        <w:t xml:space="preserve">measurement cycle. </w:t>
      </w:r>
      <w:r>
        <w:t xml:space="preserve">As shown in Table 9.2A.5.1-1. </w:t>
      </w:r>
    </w:p>
    <w:p w14:paraId="54091004" w14:textId="77777777" w:rsidR="005430AF" w:rsidRPr="006C4641" w:rsidRDefault="005430AF" w:rsidP="005430AF">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430AF" w:rsidRPr="000034CC" w14:paraId="6605A4BA" w14:textId="77777777" w:rsidTr="00F859E8">
        <w:tc>
          <w:tcPr>
            <w:tcW w:w="4620" w:type="dxa"/>
            <w:tcBorders>
              <w:top w:val="single" w:sz="4" w:space="0" w:color="auto"/>
              <w:left w:val="single" w:sz="4" w:space="0" w:color="auto"/>
              <w:bottom w:val="single" w:sz="4" w:space="0" w:color="auto"/>
              <w:right w:val="single" w:sz="4" w:space="0" w:color="auto"/>
            </w:tcBorders>
            <w:hideMark/>
          </w:tcPr>
          <w:p w14:paraId="7AB84829" w14:textId="77777777" w:rsidR="005430AF" w:rsidRPr="006C4641" w:rsidRDefault="005430AF" w:rsidP="00F859E8">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AB53D84" w14:textId="77777777" w:rsidR="005430AF" w:rsidRPr="006C4641" w:rsidRDefault="005430AF" w:rsidP="00F859E8">
            <w:pPr>
              <w:pStyle w:val="TAH"/>
              <w:rPr>
                <w:lang w:val="sv-SE"/>
              </w:rPr>
            </w:pPr>
            <w:r w:rsidRPr="006C4641">
              <w:rPr>
                <w:lang w:val="sv-SE"/>
              </w:rPr>
              <w:t>T</w:t>
            </w:r>
            <w:r w:rsidRPr="006C4641">
              <w:rPr>
                <w:vertAlign w:val="subscript"/>
                <w:lang w:val="sv-SE"/>
              </w:rPr>
              <w:t>PSS/SSS_sync_intra_CCA</w:t>
            </w:r>
          </w:p>
        </w:tc>
      </w:tr>
      <w:tr w:rsidR="005430AF" w:rsidRPr="006C4641" w14:paraId="789AA28F" w14:textId="77777777" w:rsidTr="00F859E8">
        <w:tc>
          <w:tcPr>
            <w:tcW w:w="4620" w:type="dxa"/>
            <w:tcBorders>
              <w:top w:val="single" w:sz="4" w:space="0" w:color="auto"/>
              <w:left w:val="single" w:sz="4" w:space="0" w:color="auto"/>
              <w:bottom w:val="single" w:sz="4" w:space="0" w:color="auto"/>
              <w:right w:val="single" w:sz="4" w:space="0" w:color="auto"/>
            </w:tcBorders>
            <w:hideMark/>
          </w:tcPr>
          <w:p w14:paraId="018D611F" w14:textId="77777777" w:rsidR="005430AF" w:rsidRPr="006C4641" w:rsidRDefault="005430AF" w:rsidP="00F859E8">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7D384CE" w14:textId="77777777" w:rsidR="005430AF" w:rsidRPr="006C4641" w:rsidRDefault="005430AF" w:rsidP="00F859E8">
            <w:pPr>
              <w:pStyle w:val="TAC"/>
              <w:rPr>
                <w:lang w:val="en-US"/>
              </w:rPr>
            </w:pPr>
            <w:r w:rsidRPr="006C4641">
              <w:rPr>
                <w:lang w:val="en-US"/>
              </w:rPr>
              <w:t>max( 600ms, ceil((5+L</w:t>
            </w:r>
            <w:r w:rsidRPr="006C4641">
              <w:rPr>
                <w:vertAlign w:val="subscript"/>
                <w:lang w:val="en-US"/>
              </w:rPr>
              <w:t>PSS/SSS</w:t>
            </w:r>
            <w:r w:rsidRPr="006C4641">
              <w:rPr>
                <w:lang w:val="en-US"/>
              </w:rPr>
              <w:t xml:space="preserve">) x </w:t>
            </w:r>
            <w:r w:rsidRPr="005430AF">
              <w:rPr>
                <w:highlight w:val="cyan"/>
                <w:lang w:val="en-US"/>
              </w:rPr>
              <w:t>K</w:t>
            </w:r>
            <w:r w:rsidRPr="005430AF">
              <w:rPr>
                <w:highlight w:val="cyan"/>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5430AF" w:rsidRPr="006C4641" w14:paraId="58AF45A1" w14:textId="77777777" w:rsidTr="00F859E8">
        <w:tc>
          <w:tcPr>
            <w:tcW w:w="4620" w:type="dxa"/>
            <w:tcBorders>
              <w:top w:val="single" w:sz="4" w:space="0" w:color="auto"/>
              <w:left w:val="single" w:sz="4" w:space="0" w:color="auto"/>
              <w:bottom w:val="single" w:sz="4" w:space="0" w:color="auto"/>
              <w:right w:val="single" w:sz="4" w:space="0" w:color="auto"/>
            </w:tcBorders>
            <w:hideMark/>
          </w:tcPr>
          <w:p w14:paraId="5F5B377A" w14:textId="77777777" w:rsidR="005430AF" w:rsidRPr="006C4641" w:rsidRDefault="005430AF" w:rsidP="00F859E8">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6C3EBA" w14:textId="77777777" w:rsidR="005430AF" w:rsidRPr="006C4641" w:rsidRDefault="005430AF" w:rsidP="00F859E8">
            <w:pPr>
              <w:pStyle w:val="TAC"/>
              <w:rPr>
                <w:lang w:val="en-US"/>
              </w:rPr>
            </w:pPr>
            <w:r w:rsidRPr="006C4641">
              <w:rPr>
                <w:lang w:val="en-US"/>
              </w:rPr>
              <w:t>max( 600ms, ceil(1.5x (5+L</w:t>
            </w:r>
            <w:r w:rsidRPr="006C4641">
              <w:rPr>
                <w:vertAlign w:val="subscript"/>
                <w:lang w:val="en-US"/>
              </w:rPr>
              <w:t>PSS/SSS</w:t>
            </w:r>
            <w:r w:rsidRPr="006C4641">
              <w:rPr>
                <w:lang w:val="en-US"/>
              </w:rPr>
              <w:t xml:space="preserve">) x </w:t>
            </w:r>
            <w:r w:rsidRPr="005430AF">
              <w:rPr>
                <w:highlight w:val="cyan"/>
                <w:lang w:val="en-US"/>
              </w:rPr>
              <w:t>K</w:t>
            </w:r>
            <w:r w:rsidRPr="005430AF">
              <w:rPr>
                <w:highlight w:val="cyan"/>
                <w:vertAlign w:val="subscript"/>
                <w:lang w:val="en-US"/>
              </w:rPr>
              <w:t>p</w:t>
            </w:r>
            <w:r w:rsidRPr="006C4641">
              <w:rPr>
                <w:lang w:val="en-US"/>
              </w:rPr>
              <w:t>) x max(SMTC period,DRX cycle)) x CSSF</w:t>
            </w:r>
            <w:r w:rsidRPr="006C4641">
              <w:rPr>
                <w:vertAlign w:val="subscript"/>
                <w:lang w:val="en-US"/>
              </w:rPr>
              <w:t>intra</w:t>
            </w:r>
          </w:p>
        </w:tc>
      </w:tr>
      <w:tr w:rsidR="005430AF" w:rsidRPr="006C4641" w14:paraId="3C6C817B" w14:textId="77777777" w:rsidTr="00F859E8">
        <w:tc>
          <w:tcPr>
            <w:tcW w:w="4620" w:type="dxa"/>
            <w:tcBorders>
              <w:top w:val="single" w:sz="4" w:space="0" w:color="auto"/>
              <w:left w:val="single" w:sz="4" w:space="0" w:color="auto"/>
              <w:bottom w:val="single" w:sz="4" w:space="0" w:color="auto"/>
              <w:right w:val="single" w:sz="4" w:space="0" w:color="auto"/>
            </w:tcBorders>
            <w:hideMark/>
          </w:tcPr>
          <w:p w14:paraId="570F0615" w14:textId="77777777" w:rsidR="005430AF" w:rsidRPr="006C4641" w:rsidRDefault="005430AF" w:rsidP="00F859E8">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69303D" w14:textId="77777777" w:rsidR="005430AF" w:rsidRPr="006C4641" w:rsidRDefault="005430AF" w:rsidP="00F859E8">
            <w:pPr>
              <w:pStyle w:val="TAC"/>
              <w:rPr>
                <w:lang w:val="en-US"/>
              </w:rPr>
            </w:pPr>
            <w:r w:rsidRPr="006C4641">
              <w:rPr>
                <w:lang w:val="en-US"/>
              </w:rPr>
              <w:t>ceil((5+L</w:t>
            </w:r>
            <w:r w:rsidRPr="006C4641">
              <w:rPr>
                <w:vertAlign w:val="subscript"/>
                <w:lang w:val="en-US"/>
              </w:rPr>
              <w:t>PSS/SSS</w:t>
            </w:r>
            <w:r w:rsidRPr="006C4641">
              <w:rPr>
                <w:lang w:val="en-US"/>
              </w:rPr>
              <w:t xml:space="preserve">) x </w:t>
            </w:r>
            <w:r w:rsidRPr="005430AF">
              <w:rPr>
                <w:highlight w:val="cyan"/>
                <w:lang w:val="en-US"/>
              </w:rPr>
              <w:t>K</w:t>
            </w:r>
            <w:r w:rsidRPr="005430AF">
              <w:rPr>
                <w:highlight w:val="cyan"/>
                <w:vertAlign w:val="subscript"/>
                <w:lang w:val="en-US"/>
              </w:rPr>
              <w:t>p</w:t>
            </w:r>
            <w:r w:rsidRPr="006C4641">
              <w:rPr>
                <w:lang w:val="en-US"/>
              </w:rPr>
              <w:t>) x DRX cycle x CSSF</w:t>
            </w:r>
            <w:r w:rsidRPr="006C4641">
              <w:rPr>
                <w:vertAlign w:val="subscript"/>
                <w:lang w:val="en-US"/>
              </w:rPr>
              <w:t>intra</w:t>
            </w:r>
          </w:p>
        </w:tc>
      </w:tr>
    </w:tbl>
    <w:p w14:paraId="29B02620" w14:textId="77777777" w:rsidR="005430AF" w:rsidRPr="005430AF" w:rsidRDefault="005430AF" w:rsidP="005430AF">
      <w:pPr>
        <w:jc w:val="both"/>
      </w:pPr>
    </w:p>
    <w:p w14:paraId="1C42E426" w14:textId="582AD0D5" w:rsidR="005430AF" w:rsidRPr="002015E0" w:rsidRDefault="002015E0" w:rsidP="009954A8">
      <w:pPr>
        <w:jc w:val="both"/>
        <w:rPr>
          <w:rFonts w:eastAsia="新細明體"/>
        </w:rPr>
      </w:pPr>
      <w:r>
        <w:rPr>
          <w:rFonts w:eastAsia="新細明體" w:hint="eastAsia"/>
        </w:rPr>
        <w:t xml:space="preserve">Thus, the following words are suggested. </w:t>
      </w:r>
    </w:p>
    <w:p w14:paraId="73A392C0" w14:textId="23B8B3A2" w:rsidR="009954A8" w:rsidRPr="005430AF" w:rsidRDefault="005430AF" w:rsidP="005430AF">
      <w:pPr>
        <w:pStyle w:val="af5"/>
        <w:numPr>
          <w:ilvl w:val="0"/>
          <w:numId w:val="48"/>
        </w:numPr>
        <w:jc w:val="both"/>
      </w:pPr>
      <w:r>
        <w:t>T</w:t>
      </w:r>
      <w:r w:rsidR="009954A8" w:rsidRPr="00BE4DD8">
        <w:t>he UE is not required to determine the availability of SMTC occasions more frequent than once during</w:t>
      </w:r>
      <w:r w:rsidR="009954A8">
        <w:t xml:space="preserve"> </w:t>
      </w:r>
      <w:r w:rsidR="009954A8" w:rsidRPr="005430AF">
        <w:rPr>
          <w:u w:val="single"/>
        </w:rPr>
        <w:t xml:space="preserve">SMTC period x </w:t>
      </w:r>
      <w:r w:rsidR="009954A8" w:rsidRPr="006C4641">
        <w:t>K</w:t>
      </w:r>
      <w:r w:rsidR="009954A8" w:rsidRPr="005430AF">
        <w:rPr>
          <w:vertAlign w:val="subscript"/>
        </w:rPr>
        <w:t>p</w:t>
      </w:r>
      <w:r w:rsidR="009954A8" w:rsidRPr="005430AF">
        <w:rPr>
          <w:u w:val="single"/>
        </w:rPr>
        <w:t xml:space="preserve"> x CSSF</w:t>
      </w:r>
      <w:r>
        <w:rPr>
          <w:u w:val="single"/>
        </w:rPr>
        <w:t>.</w:t>
      </w:r>
    </w:p>
    <w:p w14:paraId="7D9A6BD8" w14:textId="4C50A83B" w:rsidR="002015E0" w:rsidRDefault="005430AF" w:rsidP="00A70517">
      <w:pPr>
        <w:pStyle w:val="af5"/>
        <w:numPr>
          <w:ilvl w:val="0"/>
          <w:numId w:val="48"/>
        </w:numPr>
        <w:jc w:val="both"/>
      </w:pPr>
      <w:r w:rsidRPr="00BE4DD8">
        <w:t xml:space="preserve">When configured with DRX, the UE is not required to determine the availability of SMTC occasions more frequent than once per </w:t>
      </w:r>
      <w:r w:rsidRPr="009954A8">
        <w:rPr>
          <w:u w:val="single"/>
        </w:rPr>
        <w:t>DRX cycle</w:t>
      </w:r>
      <w:r w:rsidR="007778C0">
        <w:rPr>
          <w:u w:val="single"/>
        </w:rPr>
        <w:t xml:space="preserve"> </w:t>
      </w:r>
      <w:r w:rsidR="007778C0" w:rsidRPr="005430AF">
        <w:rPr>
          <w:u w:val="single"/>
        </w:rPr>
        <w:t xml:space="preserve">x </w:t>
      </w:r>
      <w:r w:rsidR="007778C0" w:rsidRPr="006C4641">
        <w:t>K</w:t>
      </w:r>
      <w:r w:rsidR="007778C0" w:rsidRPr="005430AF">
        <w:rPr>
          <w:vertAlign w:val="subscript"/>
        </w:rPr>
        <w:t>p</w:t>
      </w:r>
      <w:r w:rsidRPr="009954A8">
        <w:rPr>
          <w:u w:val="single"/>
        </w:rPr>
        <w:t xml:space="preserve"> x CSSF</w:t>
      </w:r>
      <w:r w:rsidRPr="00BE4DD8">
        <w:t>.</w:t>
      </w:r>
    </w:p>
    <w:p w14:paraId="4D52D00D" w14:textId="77777777" w:rsidR="002015E0" w:rsidRPr="002015E0" w:rsidRDefault="002015E0" w:rsidP="00F3716A">
      <w:pPr>
        <w:pStyle w:val="af5"/>
        <w:ind w:left="480"/>
        <w:jc w:val="both"/>
      </w:pPr>
    </w:p>
    <w:bookmarkEnd w:id="3"/>
    <w:p w14:paraId="4A10B3BD" w14:textId="7E9AEB32" w:rsidR="002015E0" w:rsidRPr="002015E0" w:rsidRDefault="002015E0" w:rsidP="002015E0">
      <w:pPr>
        <w:jc w:val="both"/>
        <w:rPr>
          <w:rFonts w:eastAsia="新細明體" w:cstheme="minorHAnsi"/>
          <w:b/>
          <w:i/>
          <w:color w:val="000000"/>
          <w:kern w:val="0"/>
        </w:rPr>
      </w:pPr>
      <w:r w:rsidRPr="002015E0">
        <w:rPr>
          <w:rFonts w:cstheme="minorHAnsi"/>
          <w:b/>
          <w:bCs/>
          <w:i/>
        </w:rPr>
        <w:t xml:space="preserve">Proposal </w:t>
      </w:r>
      <w:r w:rsidRPr="002015E0">
        <w:rPr>
          <w:rFonts w:cstheme="minorHAnsi"/>
          <w:b/>
          <w:bCs/>
          <w:i/>
        </w:rPr>
        <w:fldChar w:fldCharType="begin"/>
      </w:r>
      <w:r w:rsidRPr="002015E0">
        <w:rPr>
          <w:rFonts w:cstheme="minorHAnsi"/>
          <w:b/>
          <w:bCs/>
          <w:i/>
        </w:rPr>
        <w:instrText xml:space="preserve"> SEQ Proposal \* ARABIC </w:instrText>
      </w:r>
      <w:r w:rsidRPr="002015E0">
        <w:rPr>
          <w:rFonts w:cstheme="minorHAnsi"/>
          <w:b/>
          <w:bCs/>
          <w:i/>
        </w:rPr>
        <w:fldChar w:fldCharType="separate"/>
      </w:r>
      <w:r>
        <w:rPr>
          <w:rFonts w:cstheme="minorHAnsi"/>
          <w:b/>
          <w:bCs/>
          <w:i/>
          <w:noProof/>
        </w:rPr>
        <w:t>2</w:t>
      </w:r>
      <w:r w:rsidRPr="002015E0">
        <w:rPr>
          <w:rFonts w:cstheme="minorHAnsi"/>
          <w:b/>
          <w:bCs/>
          <w:i/>
        </w:rPr>
        <w:fldChar w:fldCharType="end"/>
      </w:r>
      <w:r w:rsidRPr="002015E0">
        <w:rPr>
          <w:rFonts w:cstheme="minorHAnsi"/>
          <w:b/>
          <w:bCs/>
          <w:i/>
        </w:rPr>
        <w:t xml:space="preserve">: </w:t>
      </w:r>
      <w:r w:rsidRPr="002015E0">
        <w:rPr>
          <w:rFonts w:eastAsia="新細明體" w:cstheme="minorHAnsi"/>
          <w:b/>
          <w:i/>
          <w:color w:val="000000"/>
          <w:kern w:val="0"/>
        </w:rPr>
        <w:t>For</w:t>
      </w:r>
      <w:r w:rsidRPr="002015E0">
        <w:rPr>
          <w:rFonts w:eastAsia="新細明體" w:cstheme="minorHAnsi" w:hint="eastAsia"/>
          <w:b/>
          <w:i/>
          <w:color w:val="000000"/>
          <w:kern w:val="0"/>
        </w:rPr>
        <w:t xml:space="preserve"> </w:t>
      </w:r>
      <w:r w:rsidRPr="002015E0">
        <w:rPr>
          <w:rFonts w:eastAsia="新細明體" w:cstheme="minorHAnsi"/>
          <w:b/>
          <w:i/>
          <w:color w:val="000000"/>
          <w:kern w:val="0"/>
        </w:rPr>
        <w:t>Intra-frequency measurements without measurement gaps, to add the following notes</w:t>
      </w:r>
      <w:r>
        <w:rPr>
          <w:rFonts w:eastAsia="新細明體" w:cstheme="minorHAnsi"/>
          <w:b/>
          <w:i/>
          <w:color w:val="000000"/>
          <w:kern w:val="0"/>
        </w:rPr>
        <w:t xml:space="preserve"> in the requirement</w:t>
      </w:r>
      <w:r w:rsidRPr="002015E0">
        <w:rPr>
          <w:rFonts w:eastAsia="新細明體" w:cstheme="minorHAnsi"/>
          <w:b/>
          <w:i/>
          <w:color w:val="000000"/>
          <w:kern w:val="0"/>
        </w:rPr>
        <w:t xml:space="preserve">: </w:t>
      </w:r>
    </w:p>
    <w:p w14:paraId="64A09144" w14:textId="77777777" w:rsidR="002015E0" w:rsidRPr="002015E0" w:rsidRDefault="002015E0" w:rsidP="002015E0">
      <w:pPr>
        <w:pStyle w:val="af5"/>
        <w:numPr>
          <w:ilvl w:val="0"/>
          <w:numId w:val="48"/>
        </w:numPr>
        <w:jc w:val="both"/>
        <w:rPr>
          <w:b/>
          <w:i/>
        </w:rPr>
      </w:pPr>
      <w:r w:rsidRPr="002015E0">
        <w:rPr>
          <w:b/>
          <w:i/>
        </w:rPr>
        <w:t xml:space="preserve">The UE is not required to determine the availability of SMTC occasions more frequent than once during </w:t>
      </w:r>
      <w:r w:rsidRPr="002015E0">
        <w:rPr>
          <w:b/>
          <w:i/>
          <w:u w:val="single"/>
        </w:rPr>
        <w:t xml:space="preserve">SMTC period x </w:t>
      </w:r>
      <w:r w:rsidRPr="002015E0">
        <w:rPr>
          <w:b/>
          <w:i/>
        </w:rPr>
        <w:t>K</w:t>
      </w:r>
      <w:r w:rsidRPr="002015E0">
        <w:rPr>
          <w:b/>
          <w:i/>
          <w:vertAlign w:val="subscript"/>
        </w:rPr>
        <w:t>p</w:t>
      </w:r>
      <w:r w:rsidRPr="002015E0">
        <w:rPr>
          <w:b/>
          <w:i/>
          <w:u w:val="single"/>
        </w:rPr>
        <w:t xml:space="preserve"> x CSSF.</w:t>
      </w:r>
    </w:p>
    <w:p w14:paraId="1C092444" w14:textId="4FEB0803" w:rsidR="002015E0" w:rsidRPr="002015E0" w:rsidRDefault="002015E0" w:rsidP="002015E0">
      <w:pPr>
        <w:pStyle w:val="af5"/>
        <w:numPr>
          <w:ilvl w:val="0"/>
          <w:numId w:val="48"/>
        </w:numPr>
        <w:jc w:val="both"/>
        <w:rPr>
          <w:b/>
          <w:i/>
        </w:rPr>
      </w:pPr>
      <w:r w:rsidRPr="002015E0">
        <w:rPr>
          <w:b/>
          <w:i/>
        </w:rPr>
        <w:t xml:space="preserve">When configured with DRX, the UE is not required to determine the availability of SMTC occasions more frequent than once per </w:t>
      </w:r>
      <w:r w:rsidRPr="002015E0">
        <w:rPr>
          <w:b/>
          <w:i/>
          <w:u w:val="single"/>
        </w:rPr>
        <w:t xml:space="preserve">DRX cycle x </w:t>
      </w:r>
      <w:r w:rsidRPr="002015E0">
        <w:rPr>
          <w:b/>
          <w:i/>
        </w:rPr>
        <w:t>K</w:t>
      </w:r>
      <w:r w:rsidRPr="002015E0">
        <w:rPr>
          <w:b/>
          <w:i/>
          <w:vertAlign w:val="subscript"/>
        </w:rPr>
        <w:t>p</w:t>
      </w:r>
      <w:r w:rsidRPr="002015E0">
        <w:rPr>
          <w:b/>
          <w:i/>
          <w:u w:val="single"/>
        </w:rPr>
        <w:t xml:space="preserve"> x CSSF</w:t>
      </w:r>
      <w:r w:rsidRPr="002015E0">
        <w:rPr>
          <w:b/>
          <w:i/>
        </w:rPr>
        <w:t>.</w:t>
      </w:r>
    </w:p>
    <w:p w14:paraId="0BE7F77E" w14:textId="77777777" w:rsidR="00CE0D5E" w:rsidRPr="000C45FD" w:rsidRDefault="00141644" w:rsidP="00544349">
      <w:pPr>
        <w:pStyle w:val="1"/>
        <w:numPr>
          <w:ilvl w:val="0"/>
          <w:numId w:val="1"/>
        </w:numPr>
        <w:rPr>
          <w:rFonts w:ascii="Calibri" w:hAnsi="Calibri"/>
          <w:lang w:eastAsia="zh-CN"/>
        </w:rPr>
      </w:pPr>
      <w:r>
        <w:rPr>
          <w:rFonts w:ascii="Calibri" w:hAnsi="Calibri"/>
        </w:rPr>
        <w:t>Summary</w:t>
      </w:r>
    </w:p>
    <w:p w14:paraId="75717EE4" w14:textId="129CD1EF" w:rsidR="002015E0" w:rsidRPr="00F3716A" w:rsidRDefault="006F7557" w:rsidP="0074464C">
      <w:pPr>
        <w:adjustRightInd w:val="0"/>
        <w:snapToGrid w:val="0"/>
        <w:spacing w:before="180" w:after="120"/>
        <w:jc w:val="both"/>
        <w:rPr>
          <w:rFonts w:eastAsia="新細明體"/>
        </w:rPr>
      </w:pPr>
      <w:r w:rsidRPr="00A45739">
        <w:rPr>
          <w:rFonts w:hint="eastAsia"/>
        </w:rPr>
        <w:t xml:space="preserve">In this </w:t>
      </w:r>
      <w:r w:rsidRPr="00A45739">
        <w:t>paper,</w:t>
      </w:r>
      <w:r w:rsidR="00FB24ED" w:rsidRPr="00A45739">
        <w:rPr>
          <w:rFonts w:hint="eastAsia"/>
        </w:rPr>
        <w:t xml:space="preserve"> </w:t>
      </w:r>
      <w:r w:rsidR="0007624C">
        <w:t>the clarification for DRX with unavailable SSBs in</w:t>
      </w:r>
      <w:r w:rsidR="00A13F2B">
        <w:t xml:space="preserve"> </w:t>
      </w:r>
      <w:r w:rsidR="002D717F" w:rsidRPr="00A45739">
        <w:t>NR-U</w:t>
      </w:r>
      <w:r w:rsidR="005B4562" w:rsidRPr="00A45739">
        <w:rPr>
          <w:szCs w:val="20"/>
        </w:rPr>
        <w:t xml:space="preserve"> </w:t>
      </w:r>
      <w:r w:rsidR="0007624C">
        <w:rPr>
          <w:szCs w:val="20"/>
        </w:rPr>
        <w:t xml:space="preserve">requirements </w:t>
      </w:r>
      <w:r w:rsidR="005B4562" w:rsidRPr="00A45739">
        <w:rPr>
          <w:szCs w:val="20"/>
        </w:rPr>
        <w:t>ha</w:t>
      </w:r>
      <w:r w:rsidR="00A13F2B">
        <w:rPr>
          <w:szCs w:val="20"/>
        </w:rPr>
        <w:t>ve</w:t>
      </w:r>
      <w:r w:rsidR="002D717F" w:rsidRPr="00A45739">
        <w:rPr>
          <w:szCs w:val="20"/>
        </w:rPr>
        <w:t xml:space="preserve"> been</w:t>
      </w:r>
      <w:r w:rsidR="00660B4F" w:rsidRPr="00A45739">
        <w:rPr>
          <w:szCs w:val="20"/>
        </w:rPr>
        <w:t xml:space="preserve"> discussed</w:t>
      </w:r>
      <w:r w:rsidR="000D3205" w:rsidRPr="00A45739">
        <w:t xml:space="preserve">. </w:t>
      </w:r>
      <w:r w:rsidR="00F3716A">
        <w:t xml:space="preserve">It proposes </w:t>
      </w:r>
    </w:p>
    <w:p w14:paraId="37737169" w14:textId="77777777" w:rsidR="00F3716A" w:rsidRPr="002015E0" w:rsidRDefault="00F3716A" w:rsidP="00F3716A">
      <w:pPr>
        <w:jc w:val="both"/>
        <w:rPr>
          <w:rFonts w:eastAsia="新細明體" w:cstheme="minorHAnsi"/>
          <w:b/>
          <w:i/>
          <w:color w:val="000000"/>
          <w:kern w:val="0"/>
        </w:rPr>
      </w:pPr>
      <w:r w:rsidRPr="002015E0">
        <w:rPr>
          <w:rFonts w:cstheme="minorHAnsi"/>
          <w:b/>
          <w:bCs/>
          <w:i/>
        </w:rPr>
        <w:t xml:space="preserve">Proposal </w:t>
      </w:r>
      <w:r w:rsidRPr="002015E0">
        <w:rPr>
          <w:rFonts w:cstheme="minorHAnsi"/>
          <w:b/>
          <w:bCs/>
          <w:i/>
        </w:rPr>
        <w:fldChar w:fldCharType="begin"/>
      </w:r>
      <w:r w:rsidRPr="002015E0">
        <w:rPr>
          <w:rFonts w:cstheme="minorHAnsi"/>
          <w:b/>
          <w:bCs/>
          <w:i/>
        </w:rPr>
        <w:instrText xml:space="preserve"> SEQ Proposal \* ARABIC </w:instrText>
      </w:r>
      <w:r w:rsidRPr="002015E0">
        <w:rPr>
          <w:rFonts w:cstheme="minorHAnsi"/>
          <w:b/>
          <w:bCs/>
          <w:i/>
        </w:rPr>
        <w:fldChar w:fldCharType="separate"/>
      </w:r>
      <w:r>
        <w:rPr>
          <w:rFonts w:cstheme="minorHAnsi"/>
          <w:b/>
          <w:bCs/>
          <w:i/>
          <w:noProof/>
        </w:rPr>
        <w:t>1</w:t>
      </w:r>
      <w:r w:rsidRPr="002015E0">
        <w:rPr>
          <w:rFonts w:cstheme="minorHAnsi"/>
          <w:b/>
          <w:bCs/>
          <w:i/>
        </w:rPr>
        <w:fldChar w:fldCharType="end"/>
      </w:r>
      <w:r w:rsidRPr="002015E0">
        <w:rPr>
          <w:rFonts w:cstheme="minorHAnsi"/>
          <w:b/>
          <w:bCs/>
          <w:i/>
        </w:rPr>
        <w:t xml:space="preserve">: </w:t>
      </w:r>
      <w:r w:rsidRPr="002015E0">
        <w:rPr>
          <w:rFonts w:eastAsia="新細明體" w:cstheme="minorHAnsi"/>
          <w:b/>
          <w:i/>
          <w:color w:val="000000"/>
          <w:kern w:val="0"/>
        </w:rPr>
        <w:t>For</w:t>
      </w:r>
      <w:r w:rsidRPr="002015E0">
        <w:rPr>
          <w:rFonts w:eastAsia="新細明體" w:cstheme="minorHAnsi" w:hint="eastAsia"/>
          <w:b/>
          <w:i/>
          <w:color w:val="000000"/>
          <w:kern w:val="0"/>
        </w:rPr>
        <w:t xml:space="preserve"> </w:t>
      </w:r>
      <w:r w:rsidRPr="002015E0">
        <w:rPr>
          <w:rFonts w:eastAsia="新細明體" w:cstheme="minorHAnsi"/>
          <w:b/>
          <w:i/>
          <w:color w:val="000000"/>
          <w:kern w:val="0"/>
        </w:rPr>
        <w:t xml:space="preserve">intra-frequency measurements without measurement gaps (deactivated SCell), </w:t>
      </w:r>
      <w:r w:rsidRPr="002015E0">
        <w:rPr>
          <w:rFonts w:eastAsia="新細明體" w:cstheme="minorHAnsi" w:hint="eastAsia"/>
          <w:b/>
          <w:i/>
          <w:color w:val="000000"/>
          <w:kern w:val="0"/>
        </w:rPr>
        <w:t>i</w:t>
      </w:r>
      <w:r w:rsidRPr="002015E0">
        <w:rPr>
          <w:rFonts w:eastAsia="新細明體" w:cstheme="minorHAnsi"/>
          <w:b/>
          <w:i/>
          <w:color w:val="000000"/>
          <w:kern w:val="0"/>
        </w:rPr>
        <w:t xml:space="preserve">ntra-frequency measurements with measurement gaps, and </w:t>
      </w:r>
      <w:r w:rsidRPr="002015E0">
        <w:rPr>
          <w:rFonts w:eastAsia="新細明體" w:cstheme="minorHAnsi" w:hint="eastAsia"/>
          <w:b/>
          <w:i/>
          <w:color w:val="000000"/>
          <w:kern w:val="0"/>
        </w:rPr>
        <w:t>i</w:t>
      </w:r>
      <w:r w:rsidRPr="002015E0">
        <w:rPr>
          <w:rFonts w:eastAsia="新細明體" w:cstheme="minorHAnsi"/>
          <w:b/>
          <w:i/>
          <w:color w:val="000000"/>
          <w:kern w:val="0"/>
        </w:rPr>
        <w:t>nter-frequency measurements, to add the following notes</w:t>
      </w:r>
      <w:r>
        <w:rPr>
          <w:rFonts w:eastAsia="新細明體" w:cstheme="minorHAnsi"/>
          <w:b/>
          <w:i/>
          <w:color w:val="000000"/>
          <w:kern w:val="0"/>
        </w:rPr>
        <w:t xml:space="preserve"> in the requirement</w:t>
      </w:r>
      <w:r w:rsidRPr="002015E0">
        <w:rPr>
          <w:rFonts w:eastAsia="新細明體" w:cstheme="minorHAnsi"/>
          <w:b/>
          <w:i/>
          <w:color w:val="000000"/>
          <w:kern w:val="0"/>
        </w:rPr>
        <w:t xml:space="preserve">: </w:t>
      </w:r>
    </w:p>
    <w:p w14:paraId="62D2A71A" w14:textId="77777777" w:rsidR="00F3716A" w:rsidRPr="002015E0" w:rsidRDefault="00F3716A" w:rsidP="00F3716A">
      <w:pPr>
        <w:pStyle w:val="af5"/>
        <w:numPr>
          <w:ilvl w:val="0"/>
          <w:numId w:val="47"/>
        </w:numPr>
        <w:jc w:val="both"/>
        <w:rPr>
          <w:rFonts w:eastAsia="新細明體"/>
          <w:b/>
          <w:i/>
        </w:rPr>
      </w:pPr>
      <w:r w:rsidRPr="002015E0">
        <w:rPr>
          <w:b/>
          <w:i/>
        </w:rPr>
        <w:t xml:space="preserve">When configured with DRX, the UE is not required to determine the availability of SMTC occasions more frequent than once per </w:t>
      </w:r>
      <w:r w:rsidRPr="002015E0">
        <w:rPr>
          <w:b/>
          <w:i/>
          <w:u w:val="single"/>
        </w:rPr>
        <w:t>DRX cycle x CSSF</w:t>
      </w:r>
      <w:r w:rsidRPr="002015E0">
        <w:rPr>
          <w:b/>
          <w:i/>
        </w:rPr>
        <w:t xml:space="preserve">. </w:t>
      </w:r>
    </w:p>
    <w:p w14:paraId="4661881B" w14:textId="77777777" w:rsidR="00F3716A" w:rsidRPr="002015E0" w:rsidRDefault="00F3716A" w:rsidP="00F3716A">
      <w:pPr>
        <w:pStyle w:val="af5"/>
        <w:numPr>
          <w:ilvl w:val="0"/>
          <w:numId w:val="47"/>
        </w:numPr>
        <w:jc w:val="both"/>
        <w:rPr>
          <w:rFonts w:eastAsia="新細明體"/>
          <w:b/>
          <w:i/>
        </w:rPr>
      </w:pPr>
      <w:r w:rsidRPr="002015E0">
        <w:rPr>
          <w:b/>
          <w:i/>
        </w:rPr>
        <w:t xml:space="preserve">When configured with measurement gaps, the UE is not required to determine the availability of SMTC occasions more frequent than once during </w:t>
      </w:r>
      <w:r w:rsidRPr="002015E0">
        <w:rPr>
          <w:b/>
          <w:i/>
          <w:u w:val="single"/>
        </w:rPr>
        <w:t>MGRP x CSSF</w:t>
      </w:r>
      <w:r w:rsidRPr="002015E0">
        <w:rPr>
          <w:b/>
          <w:i/>
        </w:rPr>
        <w:t xml:space="preserve">. </w:t>
      </w:r>
    </w:p>
    <w:p w14:paraId="26AF50B9" w14:textId="77777777" w:rsidR="00F3716A" w:rsidRPr="00F3716A" w:rsidRDefault="00F3716A" w:rsidP="00F3716A">
      <w:pPr>
        <w:pStyle w:val="af5"/>
        <w:numPr>
          <w:ilvl w:val="0"/>
          <w:numId w:val="47"/>
        </w:numPr>
        <w:jc w:val="both"/>
        <w:rPr>
          <w:rFonts w:eastAsia="新細明體"/>
          <w:b/>
          <w:i/>
        </w:rPr>
      </w:pPr>
      <w:r w:rsidRPr="002015E0">
        <w:rPr>
          <w:b/>
          <w:i/>
        </w:rPr>
        <w:t xml:space="preserve">When configured with measurement cycles, the UE is not required to determine the availability of SMTC occasions more frequent than once per </w:t>
      </w:r>
      <w:r w:rsidRPr="002015E0">
        <w:rPr>
          <w:b/>
          <w:i/>
          <w:u w:val="single"/>
        </w:rPr>
        <w:t>measurement cycle x CSSF</w:t>
      </w:r>
      <w:r w:rsidRPr="002015E0">
        <w:rPr>
          <w:b/>
          <w:i/>
        </w:rPr>
        <w:t>.</w:t>
      </w:r>
    </w:p>
    <w:p w14:paraId="1116C827" w14:textId="77777777" w:rsidR="00F3716A" w:rsidRPr="002015E0" w:rsidRDefault="00F3716A" w:rsidP="00F3716A">
      <w:pPr>
        <w:pStyle w:val="af5"/>
        <w:ind w:left="480"/>
        <w:jc w:val="both"/>
        <w:rPr>
          <w:rFonts w:eastAsia="新細明體"/>
          <w:b/>
          <w:i/>
        </w:rPr>
      </w:pPr>
    </w:p>
    <w:p w14:paraId="6532FB6C" w14:textId="77777777" w:rsidR="00F3716A" w:rsidRPr="002015E0" w:rsidRDefault="00F3716A" w:rsidP="00F3716A">
      <w:pPr>
        <w:jc w:val="both"/>
        <w:rPr>
          <w:rFonts w:eastAsia="新細明體" w:cstheme="minorHAnsi"/>
          <w:b/>
          <w:i/>
          <w:color w:val="000000"/>
          <w:kern w:val="0"/>
        </w:rPr>
      </w:pPr>
      <w:r w:rsidRPr="002015E0">
        <w:rPr>
          <w:rFonts w:cstheme="minorHAnsi"/>
          <w:b/>
          <w:bCs/>
          <w:i/>
        </w:rPr>
        <w:t xml:space="preserve">Proposal </w:t>
      </w:r>
      <w:r w:rsidRPr="002015E0">
        <w:rPr>
          <w:rFonts w:cstheme="minorHAnsi"/>
          <w:b/>
          <w:bCs/>
          <w:i/>
        </w:rPr>
        <w:fldChar w:fldCharType="begin"/>
      </w:r>
      <w:r w:rsidRPr="002015E0">
        <w:rPr>
          <w:rFonts w:cstheme="minorHAnsi"/>
          <w:b/>
          <w:bCs/>
          <w:i/>
        </w:rPr>
        <w:instrText xml:space="preserve"> SEQ Proposal \* ARABIC </w:instrText>
      </w:r>
      <w:r w:rsidRPr="002015E0">
        <w:rPr>
          <w:rFonts w:cstheme="minorHAnsi"/>
          <w:b/>
          <w:bCs/>
          <w:i/>
        </w:rPr>
        <w:fldChar w:fldCharType="separate"/>
      </w:r>
      <w:r>
        <w:rPr>
          <w:rFonts w:cstheme="minorHAnsi"/>
          <w:b/>
          <w:bCs/>
          <w:i/>
          <w:noProof/>
        </w:rPr>
        <w:t>2</w:t>
      </w:r>
      <w:r w:rsidRPr="002015E0">
        <w:rPr>
          <w:rFonts w:cstheme="minorHAnsi"/>
          <w:b/>
          <w:bCs/>
          <w:i/>
        </w:rPr>
        <w:fldChar w:fldCharType="end"/>
      </w:r>
      <w:r w:rsidRPr="002015E0">
        <w:rPr>
          <w:rFonts w:cstheme="minorHAnsi"/>
          <w:b/>
          <w:bCs/>
          <w:i/>
        </w:rPr>
        <w:t xml:space="preserve">: </w:t>
      </w:r>
      <w:r w:rsidRPr="002015E0">
        <w:rPr>
          <w:rFonts w:eastAsia="新細明體" w:cstheme="minorHAnsi"/>
          <w:b/>
          <w:i/>
          <w:color w:val="000000"/>
          <w:kern w:val="0"/>
        </w:rPr>
        <w:t>For</w:t>
      </w:r>
      <w:r w:rsidRPr="002015E0">
        <w:rPr>
          <w:rFonts w:eastAsia="新細明體" w:cstheme="minorHAnsi" w:hint="eastAsia"/>
          <w:b/>
          <w:i/>
          <w:color w:val="000000"/>
          <w:kern w:val="0"/>
        </w:rPr>
        <w:t xml:space="preserve"> </w:t>
      </w:r>
      <w:r w:rsidRPr="002015E0">
        <w:rPr>
          <w:rFonts w:eastAsia="新細明體" w:cstheme="minorHAnsi"/>
          <w:b/>
          <w:i/>
          <w:color w:val="000000"/>
          <w:kern w:val="0"/>
        </w:rPr>
        <w:t xml:space="preserve">Intra-frequency measurements without measurement gaps, to add the following </w:t>
      </w:r>
      <w:r w:rsidRPr="002015E0">
        <w:rPr>
          <w:rFonts w:eastAsia="新細明體" w:cstheme="minorHAnsi"/>
          <w:b/>
          <w:i/>
          <w:color w:val="000000"/>
          <w:kern w:val="0"/>
        </w:rPr>
        <w:lastRenderedPageBreak/>
        <w:t>notes</w:t>
      </w:r>
      <w:r>
        <w:rPr>
          <w:rFonts w:eastAsia="新細明體" w:cstheme="minorHAnsi"/>
          <w:b/>
          <w:i/>
          <w:color w:val="000000"/>
          <w:kern w:val="0"/>
        </w:rPr>
        <w:t xml:space="preserve"> in the requirement</w:t>
      </w:r>
      <w:r w:rsidRPr="002015E0">
        <w:rPr>
          <w:rFonts w:eastAsia="新細明體" w:cstheme="minorHAnsi"/>
          <w:b/>
          <w:i/>
          <w:color w:val="000000"/>
          <w:kern w:val="0"/>
        </w:rPr>
        <w:t xml:space="preserve">: </w:t>
      </w:r>
    </w:p>
    <w:p w14:paraId="6FE456B7" w14:textId="77777777" w:rsidR="00F3716A" w:rsidRPr="002015E0" w:rsidRDefault="00F3716A" w:rsidP="00F3716A">
      <w:pPr>
        <w:pStyle w:val="af5"/>
        <w:numPr>
          <w:ilvl w:val="0"/>
          <w:numId w:val="48"/>
        </w:numPr>
        <w:jc w:val="both"/>
        <w:rPr>
          <w:b/>
          <w:i/>
        </w:rPr>
      </w:pPr>
      <w:r w:rsidRPr="002015E0">
        <w:rPr>
          <w:b/>
          <w:i/>
        </w:rPr>
        <w:t xml:space="preserve">The UE is not required to determine the availability of SMTC occasions more frequent than once during </w:t>
      </w:r>
      <w:r w:rsidRPr="002015E0">
        <w:rPr>
          <w:b/>
          <w:i/>
          <w:u w:val="single"/>
        </w:rPr>
        <w:t xml:space="preserve">SMTC period x </w:t>
      </w:r>
      <w:r w:rsidRPr="002015E0">
        <w:rPr>
          <w:b/>
          <w:i/>
        </w:rPr>
        <w:t>K</w:t>
      </w:r>
      <w:r w:rsidRPr="002015E0">
        <w:rPr>
          <w:b/>
          <w:i/>
          <w:vertAlign w:val="subscript"/>
        </w:rPr>
        <w:t>p</w:t>
      </w:r>
      <w:r w:rsidRPr="002015E0">
        <w:rPr>
          <w:b/>
          <w:i/>
          <w:u w:val="single"/>
        </w:rPr>
        <w:t xml:space="preserve"> x CSSF.</w:t>
      </w:r>
    </w:p>
    <w:p w14:paraId="7D081969" w14:textId="0EFCF3FE" w:rsidR="002015E0" w:rsidRPr="00F3716A" w:rsidRDefault="00F3716A" w:rsidP="00F3716A">
      <w:pPr>
        <w:pStyle w:val="af5"/>
        <w:numPr>
          <w:ilvl w:val="0"/>
          <w:numId w:val="48"/>
        </w:numPr>
        <w:jc w:val="both"/>
        <w:rPr>
          <w:b/>
          <w:i/>
        </w:rPr>
      </w:pPr>
      <w:r w:rsidRPr="002015E0">
        <w:rPr>
          <w:b/>
          <w:i/>
        </w:rPr>
        <w:t xml:space="preserve">When configured with DRX, the UE is not required to determine the availability of SMTC occasions more frequent than once per </w:t>
      </w:r>
      <w:r w:rsidRPr="002015E0">
        <w:rPr>
          <w:b/>
          <w:i/>
          <w:u w:val="single"/>
        </w:rPr>
        <w:t xml:space="preserve">DRX cycle x </w:t>
      </w:r>
      <w:r w:rsidRPr="002015E0">
        <w:rPr>
          <w:b/>
          <w:i/>
        </w:rPr>
        <w:t>K</w:t>
      </w:r>
      <w:r w:rsidRPr="002015E0">
        <w:rPr>
          <w:b/>
          <w:i/>
          <w:vertAlign w:val="subscript"/>
        </w:rPr>
        <w:t>p</w:t>
      </w:r>
      <w:r w:rsidRPr="002015E0">
        <w:rPr>
          <w:b/>
          <w:i/>
          <w:u w:val="single"/>
        </w:rPr>
        <w:t xml:space="preserve"> x CSSF</w:t>
      </w:r>
      <w:r w:rsidRPr="002015E0">
        <w:rPr>
          <w:b/>
          <w:i/>
        </w:rPr>
        <w:t>.</w:t>
      </w:r>
    </w:p>
    <w:p w14:paraId="09013ABC" w14:textId="77777777" w:rsidR="00D63646" w:rsidRPr="00192E1A" w:rsidRDefault="000F20AC" w:rsidP="00021661">
      <w:pPr>
        <w:pStyle w:val="1"/>
        <w:ind w:left="0" w:firstLine="0"/>
        <w:rPr>
          <w:rFonts w:ascii="Calibri" w:hAnsi="Calibri"/>
        </w:rPr>
      </w:pPr>
      <w:r w:rsidRPr="00192E1A">
        <w:rPr>
          <w:rFonts w:ascii="Calibri" w:hAnsi="Calibri"/>
        </w:rPr>
        <w:t>References</w:t>
      </w:r>
    </w:p>
    <w:p w14:paraId="2681CBC9" w14:textId="1B969019" w:rsidR="00AF583C" w:rsidRPr="002015E0" w:rsidRDefault="00CF04D9" w:rsidP="002015E0">
      <w:pPr>
        <w:spacing w:after="120"/>
        <w:rPr>
          <w:rFonts w:eastAsia="新細明體"/>
        </w:rPr>
      </w:pPr>
      <w:r>
        <w:t>[</w:t>
      </w:r>
      <w:r w:rsidR="009C49F9">
        <w:t>1</w:t>
      </w:r>
      <w:r>
        <w:t xml:space="preserve">] </w:t>
      </w:r>
      <w:r w:rsidR="009C49F9" w:rsidRPr="009C49F9">
        <w:t>R4-2103025</w:t>
      </w:r>
      <w:r w:rsidRPr="00CF04D9">
        <w:t>, WF on NR-U RRM Core Requirements</w:t>
      </w:r>
      <w:r>
        <w:t xml:space="preserve">, </w:t>
      </w:r>
      <w:r w:rsidRPr="00CF04D9">
        <w:t>Ericsson</w:t>
      </w:r>
      <w:r>
        <w:t>.</w:t>
      </w:r>
    </w:p>
    <w:sectPr w:rsidR="00AF583C" w:rsidRPr="002015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952FB" w14:textId="77777777" w:rsidR="0002625F" w:rsidRDefault="0002625F">
      <w:r>
        <w:separator/>
      </w:r>
    </w:p>
  </w:endnote>
  <w:endnote w:type="continuationSeparator" w:id="0">
    <w:p w14:paraId="29208CE4" w14:textId="77777777" w:rsidR="0002625F" w:rsidRDefault="0002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4AC3C" w14:textId="77777777" w:rsidR="0002625F" w:rsidRDefault="0002625F">
      <w:r>
        <w:separator/>
      </w:r>
    </w:p>
  </w:footnote>
  <w:footnote w:type="continuationSeparator" w:id="0">
    <w:p w14:paraId="7F56FC21" w14:textId="77777777" w:rsidR="0002625F" w:rsidRDefault="000262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E6CC4"/>
    <w:multiLevelType w:val="hybridMultilevel"/>
    <w:tmpl w:val="BF4AF57C"/>
    <w:lvl w:ilvl="0" w:tplc="51DA8038">
      <w:start w:val="1"/>
      <w:numFmt w:val="bullet"/>
      <w:lvlText w:val="•"/>
      <w:lvlJc w:val="left"/>
      <w:pPr>
        <w:tabs>
          <w:tab w:val="num" w:pos="720"/>
        </w:tabs>
        <w:ind w:left="720" w:hanging="360"/>
      </w:pPr>
      <w:rPr>
        <w:rFonts w:ascii="Arial" w:hAnsi="Arial" w:hint="default"/>
      </w:rPr>
    </w:lvl>
    <w:lvl w:ilvl="1" w:tplc="61E87C0E">
      <w:start w:val="3388"/>
      <w:numFmt w:val="bullet"/>
      <w:lvlText w:val="•"/>
      <w:lvlJc w:val="left"/>
      <w:pPr>
        <w:tabs>
          <w:tab w:val="num" w:pos="1440"/>
        </w:tabs>
        <w:ind w:left="1440" w:hanging="360"/>
      </w:pPr>
      <w:rPr>
        <w:rFonts w:ascii="Arial" w:hAnsi="Arial" w:hint="default"/>
      </w:rPr>
    </w:lvl>
    <w:lvl w:ilvl="2" w:tplc="A8F670F6" w:tentative="1">
      <w:start w:val="1"/>
      <w:numFmt w:val="bullet"/>
      <w:lvlText w:val="•"/>
      <w:lvlJc w:val="left"/>
      <w:pPr>
        <w:tabs>
          <w:tab w:val="num" w:pos="2160"/>
        </w:tabs>
        <w:ind w:left="2160" w:hanging="360"/>
      </w:pPr>
      <w:rPr>
        <w:rFonts w:ascii="Arial" w:hAnsi="Arial" w:hint="default"/>
      </w:rPr>
    </w:lvl>
    <w:lvl w:ilvl="3" w:tplc="FF667E0E" w:tentative="1">
      <w:start w:val="1"/>
      <w:numFmt w:val="bullet"/>
      <w:lvlText w:val="•"/>
      <w:lvlJc w:val="left"/>
      <w:pPr>
        <w:tabs>
          <w:tab w:val="num" w:pos="2880"/>
        </w:tabs>
        <w:ind w:left="2880" w:hanging="360"/>
      </w:pPr>
      <w:rPr>
        <w:rFonts w:ascii="Arial" w:hAnsi="Arial" w:hint="default"/>
      </w:rPr>
    </w:lvl>
    <w:lvl w:ilvl="4" w:tplc="402EA886" w:tentative="1">
      <w:start w:val="1"/>
      <w:numFmt w:val="bullet"/>
      <w:lvlText w:val="•"/>
      <w:lvlJc w:val="left"/>
      <w:pPr>
        <w:tabs>
          <w:tab w:val="num" w:pos="3600"/>
        </w:tabs>
        <w:ind w:left="3600" w:hanging="360"/>
      </w:pPr>
      <w:rPr>
        <w:rFonts w:ascii="Arial" w:hAnsi="Arial" w:hint="default"/>
      </w:rPr>
    </w:lvl>
    <w:lvl w:ilvl="5" w:tplc="C2F8260A" w:tentative="1">
      <w:start w:val="1"/>
      <w:numFmt w:val="bullet"/>
      <w:lvlText w:val="•"/>
      <w:lvlJc w:val="left"/>
      <w:pPr>
        <w:tabs>
          <w:tab w:val="num" w:pos="4320"/>
        </w:tabs>
        <w:ind w:left="4320" w:hanging="360"/>
      </w:pPr>
      <w:rPr>
        <w:rFonts w:ascii="Arial" w:hAnsi="Arial" w:hint="default"/>
      </w:rPr>
    </w:lvl>
    <w:lvl w:ilvl="6" w:tplc="D9307DF8" w:tentative="1">
      <w:start w:val="1"/>
      <w:numFmt w:val="bullet"/>
      <w:lvlText w:val="•"/>
      <w:lvlJc w:val="left"/>
      <w:pPr>
        <w:tabs>
          <w:tab w:val="num" w:pos="5040"/>
        </w:tabs>
        <w:ind w:left="5040" w:hanging="360"/>
      </w:pPr>
      <w:rPr>
        <w:rFonts w:ascii="Arial" w:hAnsi="Arial" w:hint="default"/>
      </w:rPr>
    </w:lvl>
    <w:lvl w:ilvl="7" w:tplc="38C08EBC" w:tentative="1">
      <w:start w:val="1"/>
      <w:numFmt w:val="bullet"/>
      <w:lvlText w:val="•"/>
      <w:lvlJc w:val="left"/>
      <w:pPr>
        <w:tabs>
          <w:tab w:val="num" w:pos="5760"/>
        </w:tabs>
        <w:ind w:left="5760" w:hanging="360"/>
      </w:pPr>
      <w:rPr>
        <w:rFonts w:ascii="Arial" w:hAnsi="Arial" w:hint="default"/>
      </w:rPr>
    </w:lvl>
    <w:lvl w:ilvl="8" w:tplc="35DA71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6C86270"/>
    <w:multiLevelType w:val="hybridMultilevel"/>
    <w:tmpl w:val="54F826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1B657A"/>
    <w:multiLevelType w:val="hybridMultilevel"/>
    <w:tmpl w:val="7F86A024"/>
    <w:lvl w:ilvl="0" w:tplc="2E2CBE66">
      <w:start w:val="1"/>
      <w:numFmt w:val="bullet"/>
      <w:lvlText w:val="•"/>
      <w:lvlJc w:val="left"/>
      <w:pPr>
        <w:tabs>
          <w:tab w:val="num" w:pos="720"/>
        </w:tabs>
        <w:ind w:left="720" w:hanging="360"/>
      </w:pPr>
      <w:rPr>
        <w:rFonts w:ascii="Arial" w:hAnsi="Arial" w:hint="default"/>
      </w:rPr>
    </w:lvl>
    <w:lvl w:ilvl="1" w:tplc="F84C2076">
      <w:start w:val="3369"/>
      <w:numFmt w:val="bullet"/>
      <w:lvlText w:val="•"/>
      <w:lvlJc w:val="left"/>
      <w:pPr>
        <w:tabs>
          <w:tab w:val="num" w:pos="1440"/>
        </w:tabs>
        <w:ind w:left="1440" w:hanging="360"/>
      </w:pPr>
      <w:rPr>
        <w:rFonts w:ascii="Arial" w:hAnsi="Arial" w:hint="default"/>
      </w:rPr>
    </w:lvl>
    <w:lvl w:ilvl="2" w:tplc="9A402CA6" w:tentative="1">
      <w:start w:val="1"/>
      <w:numFmt w:val="bullet"/>
      <w:lvlText w:val="•"/>
      <w:lvlJc w:val="left"/>
      <w:pPr>
        <w:tabs>
          <w:tab w:val="num" w:pos="2160"/>
        </w:tabs>
        <w:ind w:left="2160" w:hanging="360"/>
      </w:pPr>
      <w:rPr>
        <w:rFonts w:ascii="Arial" w:hAnsi="Arial" w:hint="default"/>
      </w:rPr>
    </w:lvl>
    <w:lvl w:ilvl="3" w:tplc="6268C6D2" w:tentative="1">
      <w:start w:val="1"/>
      <w:numFmt w:val="bullet"/>
      <w:lvlText w:val="•"/>
      <w:lvlJc w:val="left"/>
      <w:pPr>
        <w:tabs>
          <w:tab w:val="num" w:pos="2880"/>
        </w:tabs>
        <w:ind w:left="2880" w:hanging="360"/>
      </w:pPr>
      <w:rPr>
        <w:rFonts w:ascii="Arial" w:hAnsi="Arial" w:hint="default"/>
      </w:rPr>
    </w:lvl>
    <w:lvl w:ilvl="4" w:tplc="0EB4804A" w:tentative="1">
      <w:start w:val="1"/>
      <w:numFmt w:val="bullet"/>
      <w:lvlText w:val="•"/>
      <w:lvlJc w:val="left"/>
      <w:pPr>
        <w:tabs>
          <w:tab w:val="num" w:pos="3600"/>
        </w:tabs>
        <w:ind w:left="3600" w:hanging="360"/>
      </w:pPr>
      <w:rPr>
        <w:rFonts w:ascii="Arial" w:hAnsi="Arial" w:hint="default"/>
      </w:rPr>
    </w:lvl>
    <w:lvl w:ilvl="5" w:tplc="F56258E0" w:tentative="1">
      <w:start w:val="1"/>
      <w:numFmt w:val="bullet"/>
      <w:lvlText w:val="•"/>
      <w:lvlJc w:val="left"/>
      <w:pPr>
        <w:tabs>
          <w:tab w:val="num" w:pos="4320"/>
        </w:tabs>
        <w:ind w:left="4320" w:hanging="360"/>
      </w:pPr>
      <w:rPr>
        <w:rFonts w:ascii="Arial" w:hAnsi="Arial" w:hint="default"/>
      </w:rPr>
    </w:lvl>
    <w:lvl w:ilvl="6" w:tplc="F314D32A" w:tentative="1">
      <w:start w:val="1"/>
      <w:numFmt w:val="bullet"/>
      <w:lvlText w:val="•"/>
      <w:lvlJc w:val="left"/>
      <w:pPr>
        <w:tabs>
          <w:tab w:val="num" w:pos="5040"/>
        </w:tabs>
        <w:ind w:left="5040" w:hanging="360"/>
      </w:pPr>
      <w:rPr>
        <w:rFonts w:ascii="Arial" w:hAnsi="Arial" w:hint="default"/>
      </w:rPr>
    </w:lvl>
    <w:lvl w:ilvl="7" w:tplc="72189A60" w:tentative="1">
      <w:start w:val="1"/>
      <w:numFmt w:val="bullet"/>
      <w:lvlText w:val="•"/>
      <w:lvlJc w:val="left"/>
      <w:pPr>
        <w:tabs>
          <w:tab w:val="num" w:pos="5760"/>
        </w:tabs>
        <w:ind w:left="5760" w:hanging="360"/>
      </w:pPr>
      <w:rPr>
        <w:rFonts w:ascii="Arial" w:hAnsi="Arial" w:hint="default"/>
      </w:rPr>
    </w:lvl>
    <w:lvl w:ilvl="8" w:tplc="FC1669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1112"/>
    <w:multiLevelType w:val="hybridMultilevel"/>
    <w:tmpl w:val="411C289C"/>
    <w:lvl w:ilvl="0" w:tplc="74A67DDA">
      <w:start w:val="1"/>
      <w:numFmt w:val="bullet"/>
      <w:lvlText w:val="•"/>
      <w:lvlJc w:val="left"/>
      <w:pPr>
        <w:tabs>
          <w:tab w:val="num" w:pos="720"/>
        </w:tabs>
        <w:ind w:left="720" w:hanging="360"/>
      </w:pPr>
      <w:rPr>
        <w:rFonts w:ascii="Arial" w:hAnsi="Arial" w:hint="default"/>
      </w:rPr>
    </w:lvl>
    <w:lvl w:ilvl="1" w:tplc="939083A8">
      <w:start w:val="1845"/>
      <w:numFmt w:val="bullet"/>
      <w:lvlText w:val="•"/>
      <w:lvlJc w:val="left"/>
      <w:pPr>
        <w:tabs>
          <w:tab w:val="num" w:pos="1440"/>
        </w:tabs>
        <w:ind w:left="1440" w:hanging="360"/>
      </w:pPr>
      <w:rPr>
        <w:rFonts w:ascii="Arial" w:hAnsi="Arial" w:hint="default"/>
      </w:rPr>
    </w:lvl>
    <w:lvl w:ilvl="2" w:tplc="50B8FE54" w:tentative="1">
      <w:start w:val="1"/>
      <w:numFmt w:val="bullet"/>
      <w:lvlText w:val="•"/>
      <w:lvlJc w:val="left"/>
      <w:pPr>
        <w:tabs>
          <w:tab w:val="num" w:pos="2160"/>
        </w:tabs>
        <w:ind w:left="2160" w:hanging="360"/>
      </w:pPr>
      <w:rPr>
        <w:rFonts w:ascii="Arial" w:hAnsi="Arial" w:hint="default"/>
      </w:rPr>
    </w:lvl>
    <w:lvl w:ilvl="3" w:tplc="64603A8A" w:tentative="1">
      <w:start w:val="1"/>
      <w:numFmt w:val="bullet"/>
      <w:lvlText w:val="•"/>
      <w:lvlJc w:val="left"/>
      <w:pPr>
        <w:tabs>
          <w:tab w:val="num" w:pos="2880"/>
        </w:tabs>
        <w:ind w:left="2880" w:hanging="360"/>
      </w:pPr>
      <w:rPr>
        <w:rFonts w:ascii="Arial" w:hAnsi="Arial" w:hint="default"/>
      </w:rPr>
    </w:lvl>
    <w:lvl w:ilvl="4" w:tplc="2286D954" w:tentative="1">
      <w:start w:val="1"/>
      <w:numFmt w:val="bullet"/>
      <w:lvlText w:val="•"/>
      <w:lvlJc w:val="left"/>
      <w:pPr>
        <w:tabs>
          <w:tab w:val="num" w:pos="3600"/>
        </w:tabs>
        <w:ind w:left="3600" w:hanging="360"/>
      </w:pPr>
      <w:rPr>
        <w:rFonts w:ascii="Arial" w:hAnsi="Arial" w:hint="default"/>
      </w:rPr>
    </w:lvl>
    <w:lvl w:ilvl="5" w:tplc="F8F099FA" w:tentative="1">
      <w:start w:val="1"/>
      <w:numFmt w:val="bullet"/>
      <w:lvlText w:val="•"/>
      <w:lvlJc w:val="left"/>
      <w:pPr>
        <w:tabs>
          <w:tab w:val="num" w:pos="4320"/>
        </w:tabs>
        <w:ind w:left="4320" w:hanging="360"/>
      </w:pPr>
      <w:rPr>
        <w:rFonts w:ascii="Arial" w:hAnsi="Arial" w:hint="default"/>
      </w:rPr>
    </w:lvl>
    <w:lvl w:ilvl="6" w:tplc="AC108616" w:tentative="1">
      <w:start w:val="1"/>
      <w:numFmt w:val="bullet"/>
      <w:lvlText w:val="•"/>
      <w:lvlJc w:val="left"/>
      <w:pPr>
        <w:tabs>
          <w:tab w:val="num" w:pos="5040"/>
        </w:tabs>
        <w:ind w:left="5040" w:hanging="360"/>
      </w:pPr>
      <w:rPr>
        <w:rFonts w:ascii="Arial" w:hAnsi="Arial" w:hint="default"/>
      </w:rPr>
    </w:lvl>
    <w:lvl w:ilvl="7" w:tplc="90EAC320" w:tentative="1">
      <w:start w:val="1"/>
      <w:numFmt w:val="bullet"/>
      <w:lvlText w:val="•"/>
      <w:lvlJc w:val="left"/>
      <w:pPr>
        <w:tabs>
          <w:tab w:val="num" w:pos="5760"/>
        </w:tabs>
        <w:ind w:left="5760" w:hanging="360"/>
      </w:pPr>
      <w:rPr>
        <w:rFonts w:ascii="Arial" w:hAnsi="Arial" w:hint="default"/>
      </w:rPr>
    </w:lvl>
    <w:lvl w:ilvl="8" w:tplc="5472F1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234D41"/>
    <w:multiLevelType w:val="hybridMultilevel"/>
    <w:tmpl w:val="D88C292A"/>
    <w:lvl w:ilvl="0" w:tplc="9FCCCD6C">
      <w:start w:val="1"/>
      <w:numFmt w:val="bullet"/>
      <w:lvlText w:val="•"/>
      <w:lvlJc w:val="left"/>
      <w:pPr>
        <w:tabs>
          <w:tab w:val="num" w:pos="720"/>
        </w:tabs>
        <w:ind w:left="720" w:hanging="360"/>
      </w:pPr>
      <w:rPr>
        <w:rFonts w:ascii="Arial" w:hAnsi="Arial" w:hint="default"/>
      </w:rPr>
    </w:lvl>
    <w:lvl w:ilvl="1" w:tplc="5986D220">
      <w:start w:val="3348"/>
      <w:numFmt w:val="bullet"/>
      <w:lvlText w:val="•"/>
      <w:lvlJc w:val="left"/>
      <w:pPr>
        <w:tabs>
          <w:tab w:val="num" w:pos="1440"/>
        </w:tabs>
        <w:ind w:left="1440" w:hanging="360"/>
      </w:pPr>
      <w:rPr>
        <w:rFonts w:ascii="Arial" w:hAnsi="Arial" w:hint="default"/>
      </w:rPr>
    </w:lvl>
    <w:lvl w:ilvl="2" w:tplc="D0E80B1E" w:tentative="1">
      <w:start w:val="1"/>
      <w:numFmt w:val="bullet"/>
      <w:lvlText w:val="•"/>
      <w:lvlJc w:val="left"/>
      <w:pPr>
        <w:tabs>
          <w:tab w:val="num" w:pos="2160"/>
        </w:tabs>
        <w:ind w:left="2160" w:hanging="360"/>
      </w:pPr>
      <w:rPr>
        <w:rFonts w:ascii="Arial" w:hAnsi="Arial" w:hint="default"/>
      </w:rPr>
    </w:lvl>
    <w:lvl w:ilvl="3" w:tplc="C1660E20" w:tentative="1">
      <w:start w:val="1"/>
      <w:numFmt w:val="bullet"/>
      <w:lvlText w:val="•"/>
      <w:lvlJc w:val="left"/>
      <w:pPr>
        <w:tabs>
          <w:tab w:val="num" w:pos="2880"/>
        </w:tabs>
        <w:ind w:left="2880" w:hanging="360"/>
      </w:pPr>
      <w:rPr>
        <w:rFonts w:ascii="Arial" w:hAnsi="Arial" w:hint="default"/>
      </w:rPr>
    </w:lvl>
    <w:lvl w:ilvl="4" w:tplc="28628436" w:tentative="1">
      <w:start w:val="1"/>
      <w:numFmt w:val="bullet"/>
      <w:lvlText w:val="•"/>
      <w:lvlJc w:val="left"/>
      <w:pPr>
        <w:tabs>
          <w:tab w:val="num" w:pos="3600"/>
        </w:tabs>
        <w:ind w:left="3600" w:hanging="360"/>
      </w:pPr>
      <w:rPr>
        <w:rFonts w:ascii="Arial" w:hAnsi="Arial" w:hint="default"/>
      </w:rPr>
    </w:lvl>
    <w:lvl w:ilvl="5" w:tplc="A440CEF4" w:tentative="1">
      <w:start w:val="1"/>
      <w:numFmt w:val="bullet"/>
      <w:lvlText w:val="•"/>
      <w:lvlJc w:val="left"/>
      <w:pPr>
        <w:tabs>
          <w:tab w:val="num" w:pos="4320"/>
        </w:tabs>
        <w:ind w:left="4320" w:hanging="360"/>
      </w:pPr>
      <w:rPr>
        <w:rFonts w:ascii="Arial" w:hAnsi="Arial" w:hint="default"/>
      </w:rPr>
    </w:lvl>
    <w:lvl w:ilvl="6" w:tplc="1AE4DF56" w:tentative="1">
      <w:start w:val="1"/>
      <w:numFmt w:val="bullet"/>
      <w:lvlText w:val="•"/>
      <w:lvlJc w:val="left"/>
      <w:pPr>
        <w:tabs>
          <w:tab w:val="num" w:pos="5040"/>
        </w:tabs>
        <w:ind w:left="5040" w:hanging="360"/>
      </w:pPr>
      <w:rPr>
        <w:rFonts w:ascii="Arial" w:hAnsi="Arial" w:hint="default"/>
      </w:rPr>
    </w:lvl>
    <w:lvl w:ilvl="7" w:tplc="776E2B10" w:tentative="1">
      <w:start w:val="1"/>
      <w:numFmt w:val="bullet"/>
      <w:lvlText w:val="•"/>
      <w:lvlJc w:val="left"/>
      <w:pPr>
        <w:tabs>
          <w:tab w:val="num" w:pos="5760"/>
        </w:tabs>
        <w:ind w:left="5760" w:hanging="360"/>
      </w:pPr>
      <w:rPr>
        <w:rFonts w:ascii="Arial" w:hAnsi="Arial" w:hint="default"/>
      </w:rPr>
    </w:lvl>
    <w:lvl w:ilvl="8" w:tplc="8E7479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524F73"/>
    <w:multiLevelType w:val="multilevel"/>
    <w:tmpl w:val="65086E68"/>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
      <w:lvlJc w:val="left"/>
      <w:pPr>
        <w:tabs>
          <w:tab w:val="num" w:pos="984"/>
        </w:tabs>
        <w:ind w:left="984" w:hanging="360"/>
      </w:pPr>
      <w:rPr>
        <w:rFonts w:ascii="Symbol" w:hAnsi="Symbol" w:hint="default"/>
        <w:sz w:val="20"/>
      </w:rPr>
    </w:lvl>
    <w:lvl w:ilvl="2" w:tentative="1">
      <w:start w:val="1"/>
      <w:numFmt w:val="bullet"/>
      <w:lvlText w:val=""/>
      <w:lvlJc w:val="left"/>
      <w:pPr>
        <w:tabs>
          <w:tab w:val="num" w:pos="1704"/>
        </w:tabs>
        <w:ind w:left="1704" w:hanging="360"/>
      </w:pPr>
      <w:rPr>
        <w:rFonts w:ascii="Symbol" w:hAnsi="Symbol" w:hint="default"/>
        <w:sz w:val="20"/>
      </w:rPr>
    </w:lvl>
    <w:lvl w:ilvl="3" w:tentative="1">
      <w:start w:val="1"/>
      <w:numFmt w:val="bullet"/>
      <w:lvlText w:val=""/>
      <w:lvlJc w:val="left"/>
      <w:pPr>
        <w:tabs>
          <w:tab w:val="num" w:pos="2424"/>
        </w:tabs>
        <w:ind w:left="2424" w:hanging="360"/>
      </w:pPr>
      <w:rPr>
        <w:rFonts w:ascii="Symbol" w:hAnsi="Symbol" w:hint="default"/>
        <w:sz w:val="20"/>
      </w:rPr>
    </w:lvl>
    <w:lvl w:ilvl="4" w:tentative="1">
      <w:start w:val="1"/>
      <w:numFmt w:val="bullet"/>
      <w:lvlText w:val=""/>
      <w:lvlJc w:val="left"/>
      <w:pPr>
        <w:tabs>
          <w:tab w:val="num" w:pos="3144"/>
        </w:tabs>
        <w:ind w:left="3144" w:hanging="360"/>
      </w:pPr>
      <w:rPr>
        <w:rFonts w:ascii="Symbol" w:hAnsi="Symbol" w:hint="default"/>
        <w:sz w:val="20"/>
      </w:rPr>
    </w:lvl>
    <w:lvl w:ilvl="5" w:tentative="1">
      <w:start w:val="1"/>
      <w:numFmt w:val="bullet"/>
      <w:lvlText w:val=""/>
      <w:lvlJc w:val="left"/>
      <w:pPr>
        <w:tabs>
          <w:tab w:val="num" w:pos="3864"/>
        </w:tabs>
        <w:ind w:left="3864" w:hanging="360"/>
      </w:pPr>
      <w:rPr>
        <w:rFonts w:ascii="Symbol" w:hAnsi="Symbol" w:hint="default"/>
        <w:sz w:val="20"/>
      </w:rPr>
    </w:lvl>
    <w:lvl w:ilvl="6" w:tentative="1">
      <w:start w:val="1"/>
      <w:numFmt w:val="bullet"/>
      <w:lvlText w:val=""/>
      <w:lvlJc w:val="left"/>
      <w:pPr>
        <w:tabs>
          <w:tab w:val="num" w:pos="4584"/>
        </w:tabs>
        <w:ind w:left="4584" w:hanging="360"/>
      </w:pPr>
      <w:rPr>
        <w:rFonts w:ascii="Symbol" w:hAnsi="Symbol" w:hint="default"/>
        <w:sz w:val="20"/>
      </w:rPr>
    </w:lvl>
    <w:lvl w:ilvl="7" w:tentative="1">
      <w:start w:val="1"/>
      <w:numFmt w:val="bullet"/>
      <w:lvlText w:val=""/>
      <w:lvlJc w:val="left"/>
      <w:pPr>
        <w:tabs>
          <w:tab w:val="num" w:pos="5304"/>
        </w:tabs>
        <w:ind w:left="5304" w:hanging="360"/>
      </w:pPr>
      <w:rPr>
        <w:rFonts w:ascii="Symbol" w:hAnsi="Symbol" w:hint="default"/>
        <w:sz w:val="20"/>
      </w:rPr>
    </w:lvl>
    <w:lvl w:ilvl="8" w:tentative="1">
      <w:start w:val="1"/>
      <w:numFmt w:val="bullet"/>
      <w:lvlText w:val=""/>
      <w:lvlJc w:val="left"/>
      <w:pPr>
        <w:tabs>
          <w:tab w:val="num" w:pos="6024"/>
        </w:tabs>
        <w:ind w:left="6024" w:hanging="360"/>
      </w:pPr>
      <w:rPr>
        <w:rFonts w:ascii="Symbol" w:hAnsi="Symbol" w:hint="default"/>
        <w:sz w:val="20"/>
      </w:rPr>
    </w:lvl>
  </w:abstractNum>
  <w:abstractNum w:abstractNumId="10" w15:restartNumberingAfterBreak="0">
    <w:nsid w:val="25FA1523"/>
    <w:multiLevelType w:val="hybridMultilevel"/>
    <w:tmpl w:val="B4E2B6D2"/>
    <w:lvl w:ilvl="0" w:tplc="3DF2DE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B86AE9"/>
    <w:multiLevelType w:val="multilevel"/>
    <w:tmpl w:val="27B86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E151EAE"/>
    <w:multiLevelType w:val="multilevel"/>
    <w:tmpl w:val="50E6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985641"/>
    <w:multiLevelType w:val="hybridMultilevel"/>
    <w:tmpl w:val="94C27DF2"/>
    <w:lvl w:ilvl="0" w:tplc="4B64A8CC">
      <w:start w:val="1"/>
      <w:numFmt w:val="bullet"/>
      <w:lvlText w:val="•"/>
      <w:lvlJc w:val="left"/>
      <w:pPr>
        <w:tabs>
          <w:tab w:val="num" w:pos="720"/>
        </w:tabs>
        <w:ind w:left="720" w:hanging="360"/>
      </w:pPr>
      <w:rPr>
        <w:rFonts w:ascii="Arial" w:hAnsi="Arial" w:hint="default"/>
      </w:rPr>
    </w:lvl>
    <w:lvl w:ilvl="1" w:tplc="48A436B6">
      <w:start w:val="3402"/>
      <w:numFmt w:val="bullet"/>
      <w:lvlText w:val="•"/>
      <w:lvlJc w:val="left"/>
      <w:pPr>
        <w:tabs>
          <w:tab w:val="num" w:pos="1440"/>
        </w:tabs>
        <w:ind w:left="1440" w:hanging="360"/>
      </w:pPr>
      <w:rPr>
        <w:rFonts w:ascii="Arial" w:hAnsi="Arial" w:hint="default"/>
      </w:rPr>
    </w:lvl>
    <w:lvl w:ilvl="2" w:tplc="6E006274" w:tentative="1">
      <w:start w:val="1"/>
      <w:numFmt w:val="bullet"/>
      <w:lvlText w:val="•"/>
      <w:lvlJc w:val="left"/>
      <w:pPr>
        <w:tabs>
          <w:tab w:val="num" w:pos="2160"/>
        </w:tabs>
        <w:ind w:left="2160" w:hanging="360"/>
      </w:pPr>
      <w:rPr>
        <w:rFonts w:ascii="Arial" w:hAnsi="Arial" w:hint="default"/>
      </w:rPr>
    </w:lvl>
    <w:lvl w:ilvl="3" w:tplc="70DE7D92" w:tentative="1">
      <w:start w:val="1"/>
      <w:numFmt w:val="bullet"/>
      <w:lvlText w:val="•"/>
      <w:lvlJc w:val="left"/>
      <w:pPr>
        <w:tabs>
          <w:tab w:val="num" w:pos="2880"/>
        </w:tabs>
        <w:ind w:left="2880" w:hanging="360"/>
      </w:pPr>
      <w:rPr>
        <w:rFonts w:ascii="Arial" w:hAnsi="Arial" w:hint="default"/>
      </w:rPr>
    </w:lvl>
    <w:lvl w:ilvl="4" w:tplc="C6D0A5B6" w:tentative="1">
      <w:start w:val="1"/>
      <w:numFmt w:val="bullet"/>
      <w:lvlText w:val="•"/>
      <w:lvlJc w:val="left"/>
      <w:pPr>
        <w:tabs>
          <w:tab w:val="num" w:pos="3600"/>
        </w:tabs>
        <w:ind w:left="3600" w:hanging="360"/>
      </w:pPr>
      <w:rPr>
        <w:rFonts w:ascii="Arial" w:hAnsi="Arial" w:hint="default"/>
      </w:rPr>
    </w:lvl>
    <w:lvl w:ilvl="5" w:tplc="AC640AD2" w:tentative="1">
      <w:start w:val="1"/>
      <w:numFmt w:val="bullet"/>
      <w:lvlText w:val="•"/>
      <w:lvlJc w:val="left"/>
      <w:pPr>
        <w:tabs>
          <w:tab w:val="num" w:pos="4320"/>
        </w:tabs>
        <w:ind w:left="4320" w:hanging="360"/>
      </w:pPr>
      <w:rPr>
        <w:rFonts w:ascii="Arial" w:hAnsi="Arial" w:hint="default"/>
      </w:rPr>
    </w:lvl>
    <w:lvl w:ilvl="6" w:tplc="6E066E62" w:tentative="1">
      <w:start w:val="1"/>
      <w:numFmt w:val="bullet"/>
      <w:lvlText w:val="•"/>
      <w:lvlJc w:val="left"/>
      <w:pPr>
        <w:tabs>
          <w:tab w:val="num" w:pos="5040"/>
        </w:tabs>
        <w:ind w:left="5040" w:hanging="360"/>
      </w:pPr>
      <w:rPr>
        <w:rFonts w:ascii="Arial" w:hAnsi="Arial" w:hint="default"/>
      </w:rPr>
    </w:lvl>
    <w:lvl w:ilvl="7" w:tplc="1C322F26" w:tentative="1">
      <w:start w:val="1"/>
      <w:numFmt w:val="bullet"/>
      <w:lvlText w:val="•"/>
      <w:lvlJc w:val="left"/>
      <w:pPr>
        <w:tabs>
          <w:tab w:val="num" w:pos="5760"/>
        </w:tabs>
        <w:ind w:left="5760" w:hanging="360"/>
      </w:pPr>
      <w:rPr>
        <w:rFonts w:ascii="Arial" w:hAnsi="Arial" w:hint="default"/>
      </w:rPr>
    </w:lvl>
    <w:lvl w:ilvl="8" w:tplc="21089F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6430F"/>
    <w:multiLevelType w:val="hybridMultilevel"/>
    <w:tmpl w:val="C9FED3B0"/>
    <w:lvl w:ilvl="0" w:tplc="89C487FE">
      <w:start w:val="1"/>
      <w:numFmt w:val="bullet"/>
      <w:lvlText w:val="•"/>
      <w:lvlJc w:val="left"/>
      <w:pPr>
        <w:tabs>
          <w:tab w:val="num" w:pos="360"/>
        </w:tabs>
        <w:ind w:left="360" w:hanging="360"/>
      </w:pPr>
      <w:rPr>
        <w:rFonts w:ascii="Arial" w:hAnsi="Arial" w:hint="default"/>
      </w:rPr>
    </w:lvl>
    <w:lvl w:ilvl="1" w:tplc="7E420EB0">
      <w:start w:val="1"/>
      <w:numFmt w:val="bullet"/>
      <w:lvlText w:val="•"/>
      <w:lvlJc w:val="left"/>
      <w:pPr>
        <w:tabs>
          <w:tab w:val="num" w:pos="1080"/>
        </w:tabs>
        <w:ind w:left="1080" w:hanging="360"/>
      </w:pPr>
      <w:rPr>
        <w:rFonts w:ascii="Arial" w:hAnsi="Arial" w:hint="default"/>
      </w:rPr>
    </w:lvl>
    <w:lvl w:ilvl="2" w:tplc="D0303B8E" w:tentative="1">
      <w:start w:val="1"/>
      <w:numFmt w:val="bullet"/>
      <w:lvlText w:val="•"/>
      <w:lvlJc w:val="left"/>
      <w:pPr>
        <w:tabs>
          <w:tab w:val="num" w:pos="1800"/>
        </w:tabs>
        <w:ind w:left="1800" w:hanging="360"/>
      </w:pPr>
      <w:rPr>
        <w:rFonts w:ascii="Arial" w:hAnsi="Arial" w:hint="default"/>
      </w:rPr>
    </w:lvl>
    <w:lvl w:ilvl="3" w:tplc="0B90F1EA" w:tentative="1">
      <w:start w:val="1"/>
      <w:numFmt w:val="bullet"/>
      <w:lvlText w:val="•"/>
      <w:lvlJc w:val="left"/>
      <w:pPr>
        <w:tabs>
          <w:tab w:val="num" w:pos="2520"/>
        </w:tabs>
        <w:ind w:left="2520" w:hanging="360"/>
      </w:pPr>
      <w:rPr>
        <w:rFonts w:ascii="Arial" w:hAnsi="Arial" w:hint="default"/>
      </w:rPr>
    </w:lvl>
    <w:lvl w:ilvl="4" w:tplc="5F98BCF2" w:tentative="1">
      <w:start w:val="1"/>
      <w:numFmt w:val="bullet"/>
      <w:lvlText w:val="•"/>
      <w:lvlJc w:val="left"/>
      <w:pPr>
        <w:tabs>
          <w:tab w:val="num" w:pos="3240"/>
        </w:tabs>
        <w:ind w:left="3240" w:hanging="360"/>
      </w:pPr>
      <w:rPr>
        <w:rFonts w:ascii="Arial" w:hAnsi="Arial" w:hint="default"/>
      </w:rPr>
    </w:lvl>
    <w:lvl w:ilvl="5" w:tplc="2BF6068A" w:tentative="1">
      <w:start w:val="1"/>
      <w:numFmt w:val="bullet"/>
      <w:lvlText w:val="•"/>
      <w:lvlJc w:val="left"/>
      <w:pPr>
        <w:tabs>
          <w:tab w:val="num" w:pos="3960"/>
        </w:tabs>
        <w:ind w:left="3960" w:hanging="360"/>
      </w:pPr>
      <w:rPr>
        <w:rFonts w:ascii="Arial" w:hAnsi="Arial" w:hint="default"/>
      </w:rPr>
    </w:lvl>
    <w:lvl w:ilvl="6" w:tplc="2BD62826" w:tentative="1">
      <w:start w:val="1"/>
      <w:numFmt w:val="bullet"/>
      <w:lvlText w:val="•"/>
      <w:lvlJc w:val="left"/>
      <w:pPr>
        <w:tabs>
          <w:tab w:val="num" w:pos="4680"/>
        </w:tabs>
        <w:ind w:left="4680" w:hanging="360"/>
      </w:pPr>
      <w:rPr>
        <w:rFonts w:ascii="Arial" w:hAnsi="Arial" w:hint="default"/>
      </w:rPr>
    </w:lvl>
    <w:lvl w:ilvl="7" w:tplc="B768B9E8" w:tentative="1">
      <w:start w:val="1"/>
      <w:numFmt w:val="bullet"/>
      <w:lvlText w:val="•"/>
      <w:lvlJc w:val="left"/>
      <w:pPr>
        <w:tabs>
          <w:tab w:val="num" w:pos="5400"/>
        </w:tabs>
        <w:ind w:left="5400" w:hanging="360"/>
      </w:pPr>
      <w:rPr>
        <w:rFonts w:ascii="Arial" w:hAnsi="Arial" w:hint="default"/>
      </w:rPr>
    </w:lvl>
    <w:lvl w:ilvl="8" w:tplc="7980A5A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34A6BE8"/>
    <w:multiLevelType w:val="hybridMultilevel"/>
    <w:tmpl w:val="67AE0F42"/>
    <w:lvl w:ilvl="0" w:tplc="3DF2DE8C">
      <w:start w:val="1"/>
      <w:numFmt w:val="bullet"/>
      <w:lvlText w:val="•"/>
      <w:lvlJc w:val="left"/>
      <w:pPr>
        <w:ind w:left="480" w:hanging="480"/>
      </w:pPr>
      <w:rPr>
        <w:rFonts w:ascii="Arial" w:hAnsi="Arial" w:hint="default"/>
      </w:rPr>
    </w:lvl>
    <w:lvl w:ilvl="1" w:tplc="3DF2DE8C">
      <w:start w:val="1"/>
      <w:numFmt w:val="bullet"/>
      <w:lvlText w:val="•"/>
      <w:lvlJc w:val="left"/>
      <w:pPr>
        <w:ind w:left="960" w:hanging="480"/>
      </w:pPr>
      <w:rPr>
        <w:rFonts w:ascii="Arial" w:hAnsi="Arial" w:hint="default"/>
      </w:rPr>
    </w:lvl>
    <w:lvl w:ilvl="2" w:tplc="3DF2DE8C">
      <w:start w:val="1"/>
      <w:numFmt w:val="bullet"/>
      <w:lvlText w:val="•"/>
      <w:lvlJc w:val="left"/>
      <w:pPr>
        <w:ind w:left="1440" w:hanging="480"/>
      </w:pPr>
      <w:rPr>
        <w:rFonts w:ascii="Arial" w:hAnsi="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C57BD"/>
    <w:multiLevelType w:val="hybridMultilevel"/>
    <w:tmpl w:val="724C36C2"/>
    <w:lvl w:ilvl="0" w:tplc="3DF2DE8C">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454362"/>
    <w:multiLevelType w:val="multilevel"/>
    <w:tmpl w:val="9BBE6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500600D"/>
    <w:multiLevelType w:val="multilevel"/>
    <w:tmpl w:val="3148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A92356"/>
    <w:multiLevelType w:val="hybridMultilevel"/>
    <w:tmpl w:val="4BD827FE"/>
    <w:lvl w:ilvl="0" w:tplc="89C487FE">
      <w:start w:val="1"/>
      <w:numFmt w:val="bullet"/>
      <w:lvlText w:val="•"/>
      <w:lvlJc w:val="left"/>
      <w:pPr>
        <w:ind w:left="480" w:hanging="480"/>
      </w:pPr>
      <w:rPr>
        <w:rFonts w:ascii="Arial" w:hAnsi="Arial" w:hint="default"/>
        <w:sz w:val="20"/>
        <w:szCs w:val="20"/>
      </w:rPr>
    </w:lvl>
    <w:lvl w:ilvl="1" w:tplc="89C487FE">
      <w:start w:val="1"/>
      <w:numFmt w:val="bullet"/>
      <w:lvlText w:val="•"/>
      <w:lvlJc w:val="left"/>
      <w:pPr>
        <w:ind w:left="960" w:hanging="48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A06102E"/>
    <w:multiLevelType w:val="hybridMultilevel"/>
    <w:tmpl w:val="D9148A18"/>
    <w:lvl w:ilvl="0" w:tplc="30A6D382">
      <w:start w:val="1"/>
      <w:numFmt w:val="bullet"/>
      <w:lvlText w:val="•"/>
      <w:lvlJc w:val="left"/>
      <w:pPr>
        <w:tabs>
          <w:tab w:val="num" w:pos="720"/>
        </w:tabs>
        <w:ind w:left="720" w:hanging="360"/>
      </w:pPr>
      <w:rPr>
        <w:rFonts w:ascii="Arial" w:hAnsi="Arial" w:hint="default"/>
      </w:rPr>
    </w:lvl>
    <w:lvl w:ilvl="1" w:tplc="CB24981C">
      <w:start w:val="3388"/>
      <w:numFmt w:val="bullet"/>
      <w:lvlText w:val="•"/>
      <w:lvlJc w:val="left"/>
      <w:pPr>
        <w:tabs>
          <w:tab w:val="num" w:pos="1440"/>
        </w:tabs>
        <w:ind w:left="1440" w:hanging="360"/>
      </w:pPr>
      <w:rPr>
        <w:rFonts w:ascii="Arial" w:hAnsi="Arial" w:hint="default"/>
      </w:rPr>
    </w:lvl>
    <w:lvl w:ilvl="2" w:tplc="D93A41CA" w:tentative="1">
      <w:start w:val="1"/>
      <w:numFmt w:val="bullet"/>
      <w:lvlText w:val="•"/>
      <w:lvlJc w:val="left"/>
      <w:pPr>
        <w:tabs>
          <w:tab w:val="num" w:pos="2160"/>
        </w:tabs>
        <w:ind w:left="2160" w:hanging="360"/>
      </w:pPr>
      <w:rPr>
        <w:rFonts w:ascii="Arial" w:hAnsi="Arial" w:hint="default"/>
      </w:rPr>
    </w:lvl>
    <w:lvl w:ilvl="3" w:tplc="469A0500" w:tentative="1">
      <w:start w:val="1"/>
      <w:numFmt w:val="bullet"/>
      <w:lvlText w:val="•"/>
      <w:lvlJc w:val="left"/>
      <w:pPr>
        <w:tabs>
          <w:tab w:val="num" w:pos="2880"/>
        </w:tabs>
        <w:ind w:left="2880" w:hanging="360"/>
      </w:pPr>
      <w:rPr>
        <w:rFonts w:ascii="Arial" w:hAnsi="Arial" w:hint="default"/>
      </w:rPr>
    </w:lvl>
    <w:lvl w:ilvl="4" w:tplc="208619BC" w:tentative="1">
      <w:start w:val="1"/>
      <w:numFmt w:val="bullet"/>
      <w:lvlText w:val="•"/>
      <w:lvlJc w:val="left"/>
      <w:pPr>
        <w:tabs>
          <w:tab w:val="num" w:pos="3600"/>
        </w:tabs>
        <w:ind w:left="3600" w:hanging="360"/>
      </w:pPr>
      <w:rPr>
        <w:rFonts w:ascii="Arial" w:hAnsi="Arial" w:hint="default"/>
      </w:rPr>
    </w:lvl>
    <w:lvl w:ilvl="5" w:tplc="BDCE1EC0" w:tentative="1">
      <w:start w:val="1"/>
      <w:numFmt w:val="bullet"/>
      <w:lvlText w:val="•"/>
      <w:lvlJc w:val="left"/>
      <w:pPr>
        <w:tabs>
          <w:tab w:val="num" w:pos="4320"/>
        </w:tabs>
        <w:ind w:left="4320" w:hanging="360"/>
      </w:pPr>
      <w:rPr>
        <w:rFonts w:ascii="Arial" w:hAnsi="Arial" w:hint="default"/>
      </w:rPr>
    </w:lvl>
    <w:lvl w:ilvl="6" w:tplc="2624A5FC" w:tentative="1">
      <w:start w:val="1"/>
      <w:numFmt w:val="bullet"/>
      <w:lvlText w:val="•"/>
      <w:lvlJc w:val="left"/>
      <w:pPr>
        <w:tabs>
          <w:tab w:val="num" w:pos="5040"/>
        </w:tabs>
        <w:ind w:left="5040" w:hanging="360"/>
      </w:pPr>
      <w:rPr>
        <w:rFonts w:ascii="Arial" w:hAnsi="Arial" w:hint="default"/>
      </w:rPr>
    </w:lvl>
    <w:lvl w:ilvl="7" w:tplc="4650F7CA" w:tentative="1">
      <w:start w:val="1"/>
      <w:numFmt w:val="bullet"/>
      <w:lvlText w:val="•"/>
      <w:lvlJc w:val="left"/>
      <w:pPr>
        <w:tabs>
          <w:tab w:val="num" w:pos="5760"/>
        </w:tabs>
        <w:ind w:left="5760" w:hanging="360"/>
      </w:pPr>
      <w:rPr>
        <w:rFonts w:ascii="Arial" w:hAnsi="Arial" w:hint="default"/>
      </w:rPr>
    </w:lvl>
    <w:lvl w:ilvl="8" w:tplc="917850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52B1DAD"/>
    <w:multiLevelType w:val="hybridMultilevel"/>
    <w:tmpl w:val="3FC6E62C"/>
    <w:lvl w:ilvl="0" w:tplc="89C487FE">
      <w:start w:val="1"/>
      <w:numFmt w:val="bullet"/>
      <w:lvlText w:val="•"/>
      <w:lvlJc w:val="left"/>
      <w:pPr>
        <w:ind w:left="480" w:hanging="480"/>
      </w:pPr>
      <w:rPr>
        <w:rFonts w:ascii="Arial" w:hAnsi="Arial"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072964"/>
    <w:multiLevelType w:val="hybridMultilevel"/>
    <w:tmpl w:val="170C77B6"/>
    <w:lvl w:ilvl="0" w:tplc="3DF2DE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B1C0451"/>
    <w:multiLevelType w:val="hybridMultilevel"/>
    <w:tmpl w:val="215064FE"/>
    <w:lvl w:ilvl="0" w:tplc="9AFAE1E2">
      <w:start w:val="1"/>
      <w:numFmt w:val="bullet"/>
      <w:lvlText w:val="•"/>
      <w:lvlJc w:val="left"/>
      <w:pPr>
        <w:tabs>
          <w:tab w:val="num" w:pos="720"/>
        </w:tabs>
        <w:ind w:left="720" w:hanging="360"/>
      </w:pPr>
      <w:rPr>
        <w:rFonts w:ascii="Arial" w:hAnsi="Arial" w:hint="default"/>
      </w:rPr>
    </w:lvl>
    <w:lvl w:ilvl="1" w:tplc="5572835C">
      <w:start w:val="1"/>
      <w:numFmt w:val="bullet"/>
      <w:lvlText w:val="•"/>
      <w:lvlJc w:val="left"/>
      <w:pPr>
        <w:tabs>
          <w:tab w:val="num" w:pos="1440"/>
        </w:tabs>
        <w:ind w:left="1440" w:hanging="360"/>
      </w:pPr>
      <w:rPr>
        <w:rFonts w:ascii="Arial" w:hAnsi="Arial" w:hint="default"/>
      </w:rPr>
    </w:lvl>
    <w:lvl w:ilvl="2" w:tplc="FF02A072" w:tentative="1">
      <w:start w:val="1"/>
      <w:numFmt w:val="bullet"/>
      <w:lvlText w:val="•"/>
      <w:lvlJc w:val="left"/>
      <w:pPr>
        <w:tabs>
          <w:tab w:val="num" w:pos="2160"/>
        </w:tabs>
        <w:ind w:left="2160" w:hanging="360"/>
      </w:pPr>
      <w:rPr>
        <w:rFonts w:ascii="Arial" w:hAnsi="Arial" w:hint="default"/>
      </w:rPr>
    </w:lvl>
    <w:lvl w:ilvl="3" w:tplc="DFF8E934" w:tentative="1">
      <w:start w:val="1"/>
      <w:numFmt w:val="bullet"/>
      <w:lvlText w:val="•"/>
      <w:lvlJc w:val="left"/>
      <w:pPr>
        <w:tabs>
          <w:tab w:val="num" w:pos="2880"/>
        </w:tabs>
        <w:ind w:left="2880" w:hanging="360"/>
      </w:pPr>
      <w:rPr>
        <w:rFonts w:ascii="Arial" w:hAnsi="Arial" w:hint="default"/>
      </w:rPr>
    </w:lvl>
    <w:lvl w:ilvl="4" w:tplc="257EDEF2" w:tentative="1">
      <w:start w:val="1"/>
      <w:numFmt w:val="bullet"/>
      <w:lvlText w:val="•"/>
      <w:lvlJc w:val="left"/>
      <w:pPr>
        <w:tabs>
          <w:tab w:val="num" w:pos="3600"/>
        </w:tabs>
        <w:ind w:left="3600" w:hanging="360"/>
      </w:pPr>
      <w:rPr>
        <w:rFonts w:ascii="Arial" w:hAnsi="Arial" w:hint="default"/>
      </w:rPr>
    </w:lvl>
    <w:lvl w:ilvl="5" w:tplc="679E8518" w:tentative="1">
      <w:start w:val="1"/>
      <w:numFmt w:val="bullet"/>
      <w:lvlText w:val="•"/>
      <w:lvlJc w:val="left"/>
      <w:pPr>
        <w:tabs>
          <w:tab w:val="num" w:pos="4320"/>
        </w:tabs>
        <w:ind w:left="4320" w:hanging="360"/>
      </w:pPr>
      <w:rPr>
        <w:rFonts w:ascii="Arial" w:hAnsi="Arial" w:hint="default"/>
      </w:rPr>
    </w:lvl>
    <w:lvl w:ilvl="6" w:tplc="80BAC9A6" w:tentative="1">
      <w:start w:val="1"/>
      <w:numFmt w:val="bullet"/>
      <w:lvlText w:val="•"/>
      <w:lvlJc w:val="left"/>
      <w:pPr>
        <w:tabs>
          <w:tab w:val="num" w:pos="5040"/>
        </w:tabs>
        <w:ind w:left="5040" w:hanging="360"/>
      </w:pPr>
      <w:rPr>
        <w:rFonts w:ascii="Arial" w:hAnsi="Arial" w:hint="default"/>
      </w:rPr>
    </w:lvl>
    <w:lvl w:ilvl="7" w:tplc="80E07064" w:tentative="1">
      <w:start w:val="1"/>
      <w:numFmt w:val="bullet"/>
      <w:lvlText w:val="•"/>
      <w:lvlJc w:val="left"/>
      <w:pPr>
        <w:tabs>
          <w:tab w:val="num" w:pos="5760"/>
        </w:tabs>
        <w:ind w:left="5760" w:hanging="360"/>
      </w:pPr>
      <w:rPr>
        <w:rFonts w:ascii="Arial" w:hAnsi="Arial" w:hint="default"/>
      </w:rPr>
    </w:lvl>
    <w:lvl w:ilvl="8" w:tplc="493E66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683D60"/>
    <w:multiLevelType w:val="hybridMultilevel"/>
    <w:tmpl w:val="95708F0C"/>
    <w:lvl w:ilvl="0" w:tplc="9AFAE1E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AB5D5A"/>
    <w:multiLevelType w:val="multilevel"/>
    <w:tmpl w:val="04DA6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B51792"/>
    <w:multiLevelType w:val="hybridMultilevel"/>
    <w:tmpl w:val="FA46F8CC"/>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F2612D"/>
    <w:multiLevelType w:val="hybridMultilevel"/>
    <w:tmpl w:val="A39A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AF3ADD"/>
    <w:multiLevelType w:val="hybridMultilevel"/>
    <w:tmpl w:val="FA645E90"/>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754172E"/>
    <w:multiLevelType w:val="hybridMultilevel"/>
    <w:tmpl w:val="D2721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B912F37"/>
    <w:multiLevelType w:val="multilevel"/>
    <w:tmpl w:val="F4E6D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D27BEF"/>
    <w:multiLevelType w:val="hybridMultilevel"/>
    <w:tmpl w:val="36085FB2"/>
    <w:lvl w:ilvl="0" w:tplc="BC860C90">
      <w:start w:val="9"/>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4"/>
  </w:num>
  <w:num w:numId="4">
    <w:abstractNumId w:val="38"/>
  </w:num>
  <w:num w:numId="5">
    <w:abstractNumId w:val="24"/>
  </w:num>
  <w:num w:numId="6">
    <w:abstractNumId w:val="17"/>
  </w:num>
  <w:num w:numId="7">
    <w:abstractNumId w:val="37"/>
  </w:num>
  <w:num w:numId="8">
    <w:abstractNumId w:val="28"/>
  </w:num>
  <w:num w:numId="9">
    <w:abstractNumId w:val="32"/>
  </w:num>
  <w:num w:numId="10">
    <w:abstractNumId w:val="1"/>
  </w:num>
  <w:num w:numId="11">
    <w:abstractNumId w:val="18"/>
  </w:num>
  <w:num w:numId="12">
    <w:abstractNumId w:val="42"/>
  </w:num>
  <w:num w:numId="13">
    <w:abstractNumId w:val="39"/>
  </w:num>
  <w:num w:numId="14">
    <w:abstractNumId w:val="13"/>
  </w:num>
  <w:num w:numId="15">
    <w:abstractNumId w:val="25"/>
  </w:num>
  <w:num w:numId="16">
    <w:abstractNumId w:val="23"/>
  </w:num>
  <w:num w:numId="17">
    <w:abstractNumId w:val="30"/>
  </w:num>
  <w:num w:numId="18">
    <w:abstractNumId w:val="5"/>
  </w:num>
  <w:num w:numId="19">
    <w:abstractNumId w:val="43"/>
  </w:num>
  <w:num w:numId="20">
    <w:abstractNumId w:val="3"/>
  </w:num>
  <w:num w:numId="21">
    <w:abstractNumId w:val="15"/>
  </w:num>
  <w:num w:numId="22">
    <w:abstractNumId w:val="34"/>
  </w:num>
  <w:num w:numId="23">
    <w:abstractNumId w:val="7"/>
  </w:num>
  <w:num w:numId="24">
    <w:abstractNumId w:val="6"/>
  </w:num>
  <w:num w:numId="25">
    <w:abstractNumId w:val="35"/>
  </w:num>
  <w:num w:numId="26">
    <w:abstractNumId w:val="47"/>
  </w:num>
  <w:num w:numId="27">
    <w:abstractNumId w:val="31"/>
  </w:num>
  <w:num w:numId="28">
    <w:abstractNumId w:val="27"/>
  </w:num>
  <w:num w:numId="29">
    <w:abstractNumId w:val="8"/>
  </w:num>
  <w:num w:numId="30">
    <w:abstractNumId w:val="14"/>
  </w:num>
  <w:num w:numId="31">
    <w:abstractNumId w:val="0"/>
  </w:num>
  <w:num w:numId="32">
    <w:abstractNumId w:val="11"/>
  </w:num>
  <w:num w:numId="33">
    <w:abstractNumId w:val="26"/>
  </w:num>
  <w:num w:numId="34">
    <w:abstractNumId w:val="9"/>
  </w:num>
  <w:num w:numId="35">
    <w:abstractNumId w:val="2"/>
  </w:num>
  <w:num w:numId="36">
    <w:abstractNumId w:val="29"/>
  </w:num>
  <w:num w:numId="37">
    <w:abstractNumId w:val="22"/>
  </w:num>
  <w:num w:numId="38">
    <w:abstractNumId w:val="40"/>
  </w:num>
  <w:num w:numId="39">
    <w:abstractNumId w:val="12"/>
  </w:num>
  <w:num w:numId="40">
    <w:abstractNumId w:val="44"/>
  </w:num>
  <w:num w:numId="41">
    <w:abstractNumId w:val="45"/>
  </w:num>
  <w:num w:numId="42">
    <w:abstractNumId w:val="20"/>
  </w:num>
  <w:num w:numId="43">
    <w:abstractNumId w:val="46"/>
  </w:num>
  <w:num w:numId="44">
    <w:abstractNumId w:val="36"/>
  </w:num>
  <w:num w:numId="45">
    <w:abstractNumId w:val="19"/>
  </w:num>
  <w:num w:numId="46">
    <w:abstractNumId w:val="16"/>
  </w:num>
  <w:num w:numId="47">
    <w:abstractNumId w:val="10"/>
  </w:num>
  <w:num w:numId="48">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50"/>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25F"/>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25"/>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24C"/>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26E"/>
    <w:rsid w:val="00103A93"/>
    <w:rsid w:val="00103E62"/>
    <w:rsid w:val="00104279"/>
    <w:rsid w:val="00104623"/>
    <w:rsid w:val="0010520E"/>
    <w:rsid w:val="00105358"/>
    <w:rsid w:val="00105997"/>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3F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5E0"/>
    <w:rsid w:val="00201DAC"/>
    <w:rsid w:val="00201F4A"/>
    <w:rsid w:val="002027D9"/>
    <w:rsid w:val="00202B08"/>
    <w:rsid w:val="00202BC3"/>
    <w:rsid w:val="00203389"/>
    <w:rsid w:val="00203804"/>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5FFC"/>
    <w:rsid w:val="00256225"/>
    <w:rsid w:val="00256264"/>
    <w:rsid w:val="002568E7"/>
    <w:rsid w:val="00256B68"/>
    <w:rsid w:val="00256C03"/>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C99"/>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81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AFE"/>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E65"/>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37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0E5"/>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566"/>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A71"/>
    <w:rsid w:val="00407CC5"/>
    <w:rsid w:val="00407D98"/>
    <w:rsid w:val="0041011D"/>
    <w:rsid w:val="0041147C"/>
    <w:rsid w:val="004114C8"/>
    <w:rsid w:val="00411630"/>
    <w:rsid w:val="00411677"/>
    <w:rsid w:val="0041206D"/>
    <w:rsid w:val="00412374"/>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59"/>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7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35"/>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5E32"/>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C2F"/>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246B"/>
    <w:rsid w:val="005424D2"/>
    <w:rsid w:val="005430AF"/>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CB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DA4"/>
    <w:rsid w:val="00625EE2"/>
    <w:rsid w:val="006265DD"/>
    <w:rsid w:val="0062693E"/>
    <w:rsid w:val="00627136"/>
    <w:rsid w:val="00627240"/>
    <w:rsid w:val="00627792"/>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625"/>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0BE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778C0"/>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8B"/>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52B"/>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3F87"/>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1FF1"/>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D2D"/>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3C52"/>
    <w:rsid w:val="00864277"/>
    <w:rsid w:val="00864B95"/>
    <w:rsid w:val="008653C2"/>
    <w:rsid w:val="00865BE6"/>
    <w:rsid w:val="00865D8A"/>
    <w:rsid w:val="00865F81"/>
    <w:rsid w:val="00866270"/>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5D0"/>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AAF"/>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0E1"/>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4A8"/>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9F9"/>
    <w:rsid w:val="009C4EB2"/>
    <w:rsid w:val="009C51D5"/>
    <w:rsid w:val="009C5490"/>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A12"/>
    <w:rsid w:val="00A07C3C"/>
    <w:rsid w:val="00A10156"/>
    <w:rsid w:val="00A10CB1"/>
    <w:rsid w:val="00A111E1"/>
    <w:rsid w:val="00A11CEE"/>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07D"/>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17"/>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3A4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0BA"/>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0FF5"/>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94"/>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545"/>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C7CFD"/>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4D9"/>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862"/>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18E"/>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15"/>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2E3"/>
    <w:rsid w:val="00E4263F"/>
    <w:rsid w:val="00E4298A"/>
    <w:rsid w:val="00E42FB1"/>
    <w:rsid w:val="00E434BA"/>
    <w:rsid w:val="00E438C5"/>
    <w:rsid w:val="00E43CC0"/>
    <w:rsid w:val="00E43EAB"/>
    <w:rsid w:val="00E43FFA"/>
    <w:rsid w:val="00E4434C"/>
    <w:rsid w:val="00E4438F"/>
    <w:rsid w:val="00E44CD0"/>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5F18"/>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708"/>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36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680A"/>
    <w:rsid w:val="00F3697A"/>
    <w:rsid w:val="00F36F46"/>
    <w:rsid w:val="00F3716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9B1"/>
    <w:rsid w:val="00F66BB4"/>
    <w:rsid w:val="00F66D26"/>
    <w:rsid w:val="00F671DB"/>
    <w:rsid w:val="00F6720C"/>
    <w:rsid w:val="00F67351"/>
    <w:rsid w:val="00F679DA"/>
    <w:rsid w:val="00F700F3"/>
    <w:rsid w:val="00F703DB"/>
    <w:rsid w:val="00F7082C"/>
    <w:rsid w:val="00F71595"/>
    <w:rsid w:val="00F7171B"/>
    <w:rsid w:val="00F7187A"/>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2F05"/>
    <w:rsid w:val="00FB3055"/>
    <w:rsid w:val="00FB3106"/>
    <w:rsid w:val="00FB3C04"/>
    <w:rsid w:val="00FB411A"/>
    <w:rsid w:val="00FB42B3"/>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4DCC"/>
    <w:rsid w:val="00FE536D"/>
    <w:rsid w:val="00FE579A"/>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4FD"/>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F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A25"/>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56A2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56A2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862662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850368">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73645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852929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5786389">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6827399">
      <w:bodyDiv w:val="1"/>
      <w:marLeft w:val="0"/>
      <w:marRight w:val="0"/>
      <w:marTop w:val="0"/>
      <w:marBottom w:val="0"/>
      <w:divBdr>
        <w:top w:val="none" w:sz="0" w:space="0" w:color="auto"/>
        <w:left w:val="none" w:sz="0" w:space="0" w:color="auto"/>
        <w:bottom w:val="none" w:sz="0" w:space="0" w:color="auto"/>
        <w:right w:val="none" w:sz="0" w:space="0" w:color="auto"/>
      </w:divBdr>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4022484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51620965">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609446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901183">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5941321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63603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485828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6F4A5-E783-4FD1-A6BA-92B37B40D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2021-04-02T13:05:00Z</dcterms:created>
  <dcterms:modified xsi:type="dcterms:W3CDTF">2021-04-02T16:06:00Z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